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000000" w:space="1" w:sz="4" w:val="single"/>
          <w:left w:color="000000" w:space="31" w:sz="4" w:val="single"/>
          <w:bottom w:color="000000" w:space="0" w:sz="4" w:val="single"/>
          <w:right w:color="000000" w:space="31" w:sz="4" w:val="single"/>
        </w:pBdr>
        <w:shd w:fill="1f497d" w:val="clear"/>
        <w:tabs>
          <w:tab w:val="right" w:pos="10080"/>
          <w:tab w:val="left" w:pos="3640"/>
        </w:tabs>
        <w:ind w:firstLine="567"/>
        <w:rPr>
          <w:b w:val="0"/>
          <w:color w:val="ffffff"/>
          <w:sz w:val="32"/>
          <w:szCs w:val="32"/>
        </w:rPr>
      </w:pPr>
      <w:r w:rsidDel="00000000" w:rsidR="00000000" w:rsidRPr="00000000">
        <w:rPr>
          <w:b w:val="0"/>
          <w:color w:val="ffffff"/>
          <w:sz w:val="32"/>
          <w:szCs w:val="32"/>
          <w:rtl w:val="0"/>
        </w:rPr>
        <w:t xml:space="preserve">Reoccupation Checklist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Use this template to record important checks of your premises before returning to work after lockdown. Stay alert to government announcements on return to work and complete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rtl w:val="0"/>
        </w:rPr>
        <w:t xml:space="preserve">reoccupation.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1"/>
        <w:gridCol w:w="709"/>
        <w:gridCol w:w="709"/>
        <w:gridCol w:w="709"/>
        <w:gridCol w:w="1938"/>
        <w:tblGridChange w:id="0">
          <w:tblGrid>
            <w:gridCol w:w="4951"/>
            <w:gridCol w:w="709"/>
            <w:gridCol w:w="709"/>
            <w:gridCol w:w="709"/>
            <w:gridCol w:w="1938"/>
          </w:tblGrid>
        </w:tblGridChange>
      </w:tblGrid>
      <w:tr>
        <w:tc>
          <w:tcPr>
            <w:gridSpan w:val="5"/>
            <w:shd w:fill="1f4e7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Building Reoccupation Checklist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1f4e79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Statutory Checks</w:t>
            </w:r>
          </w:p>
        </w:tc>
        <w:tc>
          <w:tcPr>
            <w:shd w:fill="1f4e79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Yes </w:t>
            </w:r>
          </w:p>
        </w:tc>
        <w:tc>
          <w:tcPr>
            <w:shd w:fill="1f4e79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No </w:t>
            </w:r>
          </w:p>
        </w:tc>
        <w:tc>
          <w:tcPr>
            <w:shd w:fill="1f4e79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N/A</w:t>
            </w:r>
          </w:p>
        </w:tc>
        <w:tc>
          <w:tcPr>
            <w:shd w:fill="1f4e79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Action Required</w:t>
            </w:r>
          </w:p>
        </w:tc>
      </w:tr>
      <w:tr>
        <w:tc>
          <w:tcPr>
            <w:vMerge w:val="continue"/>
            <w:shd w:fill="1f4e79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 five-yearly fixed wiring (electrical installation condition report) within date and rated as satisfactory?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 gas safety certificate(s) in date for annual review?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Plant rooms: Has all plant and equipment been suitably serviced?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PAT testing been completed where relevant?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all pressure vessels been examined as per the scheme of examination?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f4e79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Fire Safety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you reviewed your Fire Risk Assessment (FRA)?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boiler rooms and electrical cupboards free from combustible storage?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skips and bins a safe distance away from your building(s)?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you informed your Alarm Receiving Centre (ARC) of your reoccupation (where necessary)?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the fire alarm system been serviced within the timescale outlined by the contractor?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the fire alarm been tested weekly during the lockdown period?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 fire alarm functioning correctly?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all fire doors, maglocks, acoustic closing mechanisms and other associated equipment been checked for functionality?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all fire extinguishers in place and free from defects?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all fire suppression / sprinkler systems been suitably maintained and checked for sufficient pressure (where appropriate)?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fire dampers been maintained (within the last 12 months)?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the automatic smoke vents been maintained (within the last 12 months)?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the lightning protection been tested and maintained (within the last twelve months)?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f4e79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Emergency Lighting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the emergency lighting system been serviced (within the last 12 months)?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the emergency lighting been tested monthly during the lockdown period?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 emergency lighting system fully functional?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f4e79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Building Security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there any damage to the structure, roof, windows or fixtures?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 CCTV system functioning correctly?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 intruder alarm functioning correctly?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f4e79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Contractors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contractors been re-engaged (where possible)?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 contractors be controlled on site?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measures been put in place to ensure contractors (and other visitors) with identified symptoms are not permitted entry to your premises?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f4e79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Water Safety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your Legionella Risk Assessment been reviewed?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there a re-commissioning plan (where necessary)?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weekly flushing of all unused/little-used outlets (including external taps) been completed during lockdown?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temperatures been checked against acceptable ranges?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Recorded temperature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Cold water storage tank (maximum 20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Hot water storage tank (minimum 60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" w:hRule="atLeast"/>
        </w:trPr>
        <w:tc>
          <w:tcPr/>
          <w:p w:rsidR="00000000" w:rsidDel="00000000" w:rsidP="00000000" w:rsidRDefault="00000000" w:rsidRPr="00000000" w14:paraId="000000D8">
            <w:pPr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Sentinel tap (furthest tap from the boiler – minimum 50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all spray fittings been removed, descaled and replaced?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Thermostatic Mixing Valve (TMV) maintenance up to date?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the system been disinfected/chlorinated (including water tanks) where necessary?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f4e79" w:val="clea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Utilities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any utilities have been temporarily shut off, have these been turned back on?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f4e79" w:val="clea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Equipment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all first aid kits in place, in date and fully stocked?  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the defib(s) been checked for safe operation?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all equipment been switched on and checked for correct function?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all necessary guards in place / undamaged?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equipment been serviced or maintained as necessary by a competent person?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the annual services been completed on all oil / electric boilers?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all six-monthly LOLER checks been completed by a competent person?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all window restrictors been checked to ensure they are in place and safe?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f4e79" w:val="clea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Staffing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risk assessments and plans been reviewed and agreed with vulnerable persons?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your Lone Working Risk Assessment been reviewed?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there sufficient staff on site to undertake safety-critical roles e.g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aiders, maintenance, fire wardens?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there sufficient supervision and support of staff?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Does reoccupation need to be staged to maintain social distancing?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f4e79" w:val="clea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General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a pest control contractor visited the premises recently and are suitable controls in place?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any asbestos likely to have been disturbed during lockdown?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the insurance company been informed of the recommencing of activities within the premises?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reoccupation been considered within the Business Continuity Plan?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 social distancing of two metres (or one metre + with risk mitigation where two metres is not viable) be observed at all times?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a COVID-19 Reoccupation Risk Assessment been completed to ensure controls are implemented to protect staff?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the risk assessment been communicated to all staff to ensure their awareness of requirements?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all areas to be occupied been deep cleaned?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have sufficient cleaning staff, stock and processes in place to ensure that your premises remain safe?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there sufficient hand-cleaning facilities made available, such as soap and hot water or hand sanitiser?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trees and boundary walls within your grounds appear visually safe?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you reviewed your last General Risk Assessment (GRA)?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4.0" w:type="dxa"/>
        <w:jc w:val="left"/>
        <w:tblInd w:w="-431.0" w:type="dxa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6" w:val="single"/>
          <w:insideV w:color="999999" w:space="0" w:sz="6" w:val="single"/>
        </w:tblBorders>
        <w:tblLayout w:type="fixed"/>
        <w:tblLook w:val="0000"/>
      </w:tblPr>
      <w:tblGrid>
        <w:gridCol w:w="4482"/>
        <w:gridCol w:w="1780"/>
        <w:gridCol w:w="1105"/>
        <w:gridCol w:w="1204"/>
        <w:gridCol w:w="1353"/>
        <w:tblGridChange w:id="0">
          <w:tblGrid>
            <w:gridCol w:w="4482"/>
            <w:gridCol w:w="1780"/>
            <w:gridCol w:w="1105"/>
            <w:gridCol w:w="1204"/>
            <w:gridCol w:w="13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84">
            <w:pPr>
              <w:spacing w:after="100" w:before="10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Action Required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85">
            <w:pPr>
              <w:spacing w:after="100" w:before="10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86">
            <w:pPr>
              <w:spacing w:after="100" w:before="10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Priority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87">
            <w:pPr>
              <w:spacing w:after="100" w:before="10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Time Scale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88">
            <w:pPr>
              <w:spacing w:after="100" w:before="10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Completed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100" w:before="1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100" w:before="1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-752474</wp:posOffset>
          </wp:positionH>
          <wp:positionV relativeFrom="paragraph">
            <wp:posOffset>-304799</wp:posOffset>
          </wp:positionV>
          <wp:extent cx="2403177" cy="50419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3177" cy="504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color="999999" w:space="1" w:sz="18" w:val="single"/>
        <w:left w:color="999999" w:space="4" w:sz="18" w:val="single"/>
        <w:bottom w:color="999999" w:space="1" w:sz="18" w:val="single"/>
        <w:right w:color="999999" w:space="4" w:sz="18" w:val="single"/>
      </w:pBdr>
      <w:tabs>
        <w:tab w:val="right" w:pos="10080"/>
      </w:tabs>
      <w:spacing w:after="0" w:line="24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Web"/>
    <w:next w:val="Normal"/>
    <w:link w:val="Heading3Char"/>
    <w:qFormat w:val="1"/>
    <w:rsid w:val="00B11C87"/>
    <w:pPr>
      <w:pBdr>
        <w:top w:color="999999" w:space="1" w:sz="18" w:val="single"/>
        <w:left w:color="999999" w:space="4" w:sz="18" w:val="single"/>
        <w:bottom w:color="999999" w:space="1" w:sz="18" w:val="single"/>
        <w:right w:color="999999" w:space="4" w:sz="18" w:val="single"/>
      </w:pBdr>
      <w:tabs>
        <w:tab w:val="right" w:pos="10080"/>
      </w:tabs>
      <w:spacing w:after="0" w:line="240" w:lineRule="auto"/>
      <w:jc w:val="center"/>
      <w:outlineLvl w:val="2"/>
    </w:pPr>
    <w:rPr>
      <w:rFonts w:ascii="Arial" w:eastAsia="Calibri" w:hAnsi="Arial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rsid w:val="00B11C87"/>
    <w:rPr>
      <w:rFonts w:ascii="Arial" w:cs="Times New Roman" w:eastAsia="Calibri" w:hAnsi="Arial"/>
      <w:b w:val="1"/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B11C87"/>
    <w:rPr>
      <w:rFonts w:ascii="Times New Roman" w:cs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B11C8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1C87"/>
  </w:style>
  <w:style w:type="paragraph" w:styleId="Footer">
    <w:name w:val="footer"/>
    <w:basedOn w:val="Normal"/>
    <w:link w:val="FooterChar"/>
    <w:uiPriority w:val="99"/>
    <w:unhideWhenUsed w:val="1"/>
    <w:rsid w:val="00B11C8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1C87"/>
  </w:style>
  <w:style w:type="table" w:styleId="TableGrid">
    <w:name w:val="Table Grid"/>
    <w:basedOn w:val="TableNormal"/>
    <w:uiPriority w:val="39"/>
    <w:rsid w:val="00B11C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ellbodyspaced" w:customStyle="1">
    <w:name w:val="Cellbody_spaced"/>
    <w:basedOn w:val="Normal"/>
    <w:rsid w:val="00B11C87"/>
    <w:pPr>
      <w:spacing w:after="40" w:before="40" w:line="240" w:lineRule="auto"/>
    </w:pPr>
    <w:rPr>
      <w:rFonts w:ascii="Arial" w:cs="Times New Roman" w:eastAsia="Calibri" w:hAnsi="Arial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218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2183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GXd1TltyLrS5yosTCqG7aWlBg==">AMUW2mUwlSnf2eLZgrSI4dPJvEQMjS7lILexTM/FvxC6GTaQpSYBhbxHbAmpC1oEDNrfv6puEmQTa7WeyyuOTyecSnOOR6qyTRiVSDuoWZWmaWO8CvtzYxChTjy4/W9OzloaKcPWxnDE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2020-06-28T16:50:00Z</dcterms:created>
  <dc:creator>Ross Henderson</dc:creator>
</cp:coreProperties>
</file>