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4A0" w:firstRow="1" w:lastRow="0" w:firstColumn="1" w:lastColumn="0" w:noHBand="0" w:noVBand="1"/>
      </w:tblPr>
      <w:tblGrid>
        <w:gridCol w:w="988"/>
        <w:gridCol w:w="1795"/>
        <w:gridCol w:w="1372"/>
        <w:gridCol w:w="709"/>
        <w:gridCol w:w="567"/>
        <w:gridCol w:w="854"/>
        <w:gridCol w:w="4253"/>
        <w:gridCol w:w="708"/>
        <w:gridCol w:w="709"/>
        <w:gridCol w:w="567"/>
        <w:gridCol w:w="3402"/>
      </w:tblGrid>
      <w:tr w:rsidR="00817D21" w14:paraId="460CB101" w14:textId="77777777" w:rsidTr="00B44793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35CDE749" w:rsidR="00817D21" w:rsidRPr="006D3801" w:rsidRDefault="00817D21" w:rsidP="00B447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971EE1">
              <w:rPr>
                <w:b/>
                <w:color w:val="FFFFFF" w:themeColor="background1"/>
                <w:sz w:val="36"/>
                <w:szCs w:val="28"/>
              </w:rPr>
              <w:t xml:space="preserve">the </w:t>
            </w:r>
            <w:r w:rsidR="004D717D">
              <w:rPr>
                <w:b/>
                <w:color w:val="FFFFFF" w:themeColor="background1"/>
                <w:sz w:val="36"/>
                <w:szCs w:val="28"/>
              </w:rPr>
              <w:t xml:space="preserve">Tourism </w:t>
            </w:r>
            <w:r w:rsidR="004700F4">
              <w:rPr>
                <w:b/>
                <w:color w:val="FFFFFF" w:themeColor="background1"/>
                <w:sz w:val="36"/>
                <w:szCs w:val="28"/>
              </w:rPr>
              <w:t>and</w:t>
            </w:r>
            <w:r w:rsidR="004D717D">
              <w:rPr>
                <w:b/>
                <w:color w:val="FFFFFF" w:themeColor="background1"/>
                <w:sz w:val="36"/>
                <w:szCs w:val="28"/>
              </w:rPr>
              <w:t xml:space="preserve"> Hospitality</w:t>
            </w:r>
            <w:r>
              <w:rPr>
                <w:b/>
                <w:color w:val="FFFFFF" w:themeColor="background1"/>
                <w:sz w:val="36"/>
                <w:szCs w:val="28"/>
              </w:rPr>
              <w:t xml:space="preserve"> Sector (Scotland) </w:t>
            </w:r>
          </w:p>
        </w:tc>
      </w:tr>
      <w:tr w:rsidR="00B44793" w14:paraId="492B2F19" w14:textId="77777777" w:rsidTr="00B44793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502C3D3F" w14:textId="77777777" w:rsidR="00971EE1" w:rsidRDefault="00671DBD" w:rsidP="00B44793">
            <w:pPr>
              <w:pStyle w:val="Header"/>
              <w:jc w:val="center"/>
            </w:pPr>
            <w:sdt>
              <w:sdtPr>
                <w:id w:val="-1172258640"/>
                <w:docPartObj>
                  <w:docPartGallery w:val="Watermarks"/>
                  <w:docPartUnique/>
                </w:docPartObj>
              </w:sdtPr>
              <w:sdtEndPr/>
              <w:sdtContent>
                <w:r w:rsidR="00B4479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696CD997" wp14:editId="0B78DBFB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32FCBD" w14:textId="77777777" w:rsidR="00581E2C" w:rsidRDefault="00581E2C" w:rsidP="00B4479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DRAFT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96CD99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432FCBD" w14:textId="77777777" w:rsidR="00581E2C" w:rsidRDefault="00581E2C" w:rsidP="00B447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44793" w:rsidRPr="00BD6ABB">
              <w:t xml:space="preserve"> </w:t>
            </w:r>
          </w:p>
          <w:p w14:paraId="7EE0BA66" w14:textId="4C367560" w:rsidR="00971EE1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This template risk assessment is intended to help you document the risk control measures you have introduced within the workplace to control the spread of coronavirus (COVID-19). It is not a Business Continuity Plan.</w:t>
            </w:r>
          </w:p>
          <w:p w14:paraId="6041B565" w14:textId="77777777" w:rsidR="00971EE1" w:rsidRDefault="00971EE1" w:rsidP="00B44793">
            <w:pPr>
              <w:pStyle w:val="Header"/>
              <w:jc w:val="center"/>
              <w:rPr>
                <w:b/>
                <w:color w:val="FF0000"/>
              </w:rPr>
            </w:pPr>
          </w:p>
          <w:p w14:paraId="4984BFA7" w14:textId="77777777" w:rsidR="00B44793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You must modify this risk assessment to ensure it reflects your business activities and the specific risks and controls you have in place</w:t>
            </w:r>
            <w:r w:rsidR="00971EE1">
              <w:rPr>
                <w:b/>
                <w:color w:val="FF0000"/>
              </w:rPr>
              <w:t>.</w:t>
            </w:r>
          </w:p>
          <w:p w14:paraId="1F24284F" w14:textId="72B29ED8" w:rsidR="00971EE1" w:rsidRDefault="00971EE1" w:rsidP="00B44793">
            <w:pPr>
              <w:pStyle w:val="Header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817D21" w:rsidRPr="002A1FA5" w14:paraId="766F57A8" w14:textId="77777777" w:rsidTr="00B44793">
        <w:trPr>
          <w:tblHeader/>
        </w:trPr>
        <w:tc>
          <w:tcPr>
            <w:tcW w:w="6285" w:type="dxa"/>
            <w:gridSpan w:val="6"/>
          </w:tcPr>
          <w:p w14:paraId="026998B0" w14:textId="77777777" w:rsidR="00817D21" w:rsidRPr="00971EE1" w:rsidRDefault="00817D21" w:rsidP="00B44793">
            <w:pPr>
              <w:rPr>
                <w:rFonts w:cstheme="minorHAnsi"/>
                <w:sz w:val="20"/>
                <w:szCs w:val="20"/>
              </w:rPr>
            </w:pPr>
            <w:r w:rsidRPr="00971EE1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971E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817D21" w:rsidRPr="00971EE1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817D21" w:rsidRPr="00971EE1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971EE1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817D21" w:rsidRPr="00971EE1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971EE1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817D21" w:rsidRPr="002A1FA5" w14:paraId="02B5D950" w14:textId="77777777" w:rsidTr="00B44793">
        <w:trPr>
          <w:tblHeader/>
        </w:trPr>
        <w:tc>
          <w:tcPr>
            <w:tcW w:w="6285" w:type="dxa"/>
            <w:gridSpan w:val="6"/>
          </w:tcPr>
          <w:p w14:paraId="2882B6C7" w14:textId="0F9B6DA6" w:rsidR="00817D21" w:rsidRPr="00971EE1" w:rsidRDefault="00817D21" w:rsidP="00B44793">
            <w:pPr>
              <w:rPr>
                <w:sz w:val="20"/>
                <w:szCs w:val="20"/>
              </w:rPr>
            </w:pPr>
            <w:r w:rsidRPr="00971EE1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971EE1">
              <w:rPr>
                <w:rFonts w:cstheme="minorHAnsi"/>
                <w:sz w:val="20"/>
                <w:szCs w:val="20"/>
              </w:rPr>
              <w:t xml:space="preserve"> Working in </w:t>
            </w:r>
            <w:r w:rsidR="004D717D">
              <w:rPr>
                <w:rFonts w:cstheme="minorHAnsi"/>
                <w:sz w:val="20"/>
                <w:szCs w:val="20"/>
              </w:rPr>
              <w:t>a hotel/bar/restaurant</w:t>
            </w:r>
          </w:p>
        </w:tc>
        <w:tc>
          <w:tcPr>
            <w:tcW w:w="4253" w:type="dxa"/>
          </w:tcPr>
          <w:p w14:paraId="39AAB5C1" w14:textId="199E2905" w:rsidR="00817D21" w:rsidRPr="00971EE1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817D21" w:rsidRPr="00971EE1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971EE1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817D21" w:rsidRPr="002A1FA5" w14:paraId="42A2991F" w14:textId="77777777" w:rsidTr="00B44793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817D21" w:rsidRPr="00971EE1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5B4E49AF" w:rsidR="00817D21" w:rsidRPr="00971EE1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before implementing control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817D21" w:rsidRPr="00971EE1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817D21" w:rsidRPr="00971EE1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817D21" w:rsidRPr="00971EE1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D21" w:rsidRPr="002A1FA5" w14:paraId="7F6F1857" w14:textId="77777777" w:rsidTr="00900087">
        <w:trPr>
          <w:cantSplit/>
          <w:trHeight w:val="1450"/>
          <w:tblHeader/>
        </w:trPr>
        <w:tc>
          <w:tcPr>
            <w:tcW w:w="988" w:type="dxa"/>
            <w:shd w:val="clear" w:color="auto" w:fill="1F497D" w:themeFill="text2"/>
          </w:tcPr>
          <w:p w14:paraId="72D91C1E" w14:textId="77777777" w:rsidR="00817D21" w:rsidRPr="00971EE1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795" w:type="dxa"/>
            <w:shd w:val="clear" w:color="auto" w:fill="1F497D" w:themeFill="text2"/>
          </w:tcPr>
          <w:p w14:paraId="0E188D48" w14:textId="77777777" w:rsidR="00817D21" w:rsidRPr="00971EE1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817D21" w:rsidRPr="00971EE1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854" w:type="dxa"/>
            <w:shd w:val="clear" w:color="auto" w:fill="1F497D" w:themeFill="text2"/>
            <w:textDirection w:val="btLr"/>
          </w:tcPr>
          <w:p w14:paraId="24CCF045" w14:textId="77777777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817D21" w:rsidRPr="00971EE1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817D21" w:rsidRPr="00971EE1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817D21" w:rsidRPr="00971EE1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71E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817D21" w:rsidRPr="002A1FA5" w14:paraId="3BACAA72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6405C926" w14:textId="47946967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Working in the </w:t>
            </w:r>
            <w:r w:rsidR="004D717D">
              <w:rPr>
                <w:rFonts w:cstheme="minorHAnsi"/>
                <w:sz w:val="18"/>
                <w:szCs w:val="18"/>
              </w:rPr>
              <w:t>hotel/bar/restaurant</w:t>
            </w:r>
          </w:p>
        </w:tc>
        <w:tc>
          <w:tcPr>
            <w:tcW w:w="1795" w:type="dxa"/>
            <w:vAlign w:val="center"/>
          </w:tcPr>
          <w:p w14:paraId="4D02A746" w14:textId="1349765E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039790BA" w14:textId="77777777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23647243" w14:textId="397D50B5" w:rsidR="00817D2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178E0C4B" w14:textId="72B5E57B" w:rsidR="009F3913" w:rsidRPr="00971EE1" w:rsidRDefault="00661080" w:rsidP="00B447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Guests </w:t>
            </w:r>
            <w:r w:rsidR="009F3913">
              <w:rPr>
                <w:rFonts w:cstheme="minorHAnsi"/>
                <w:sz w:val="18"/>
                <w:szCs w:val="18"/>
              </w:rPr>
              <w:t>Residents</w:t>
            </w:r>
          </w:p>
          <w:p w14:paraId="540B3D02" w14:textId="77777777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3096E642" w14:textId="77777777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79D7F48E" w14:textId="058AF8DE" w:rsidR="00817D21" w:rsidRPr="00971EE1" w:rsidRDefault="00817D21" w:rsidP="00B447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139BF080" w:rsidR="00817D21" w:rsidRPr="004636CC" w:rsidRDefault="00817D21" w:rsidP="004D717D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0409422" w14:textId="6AEC5071" w:rsidR="00817D21" w:rsidRPr="004636CC" w:rsidRDefault="009E1804" w:rsidP="004D717D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87FB9CA" w14:textId="55794ADF" w:rsidR="00817D21" w:rsidRPr="004636CC" w:rsidRDefault="009E1804" w:rsidP="004D717D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</w:t>
            </w:r>
            <w:r w:rsidR="00817D21"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1F20123A" w14:textId="77777777" w:rsidR="00817D21" w:rsidRPr="00971EE1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Employees are instructed to work from home if their work allows them. </w:t>
            </w:r>
          </w:p>
          <w:p w14:paraId="2C680626" w14:textId="77777777" w:rsidR="00817D21" w:rsidRPr="00971EE1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4E74F69" w14:textId="04C0D467" w:rsidR="00971EE1" w:rsidRPr="00971EE1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971EE1">
              <w:rPr>
                <w:rFonts w:cstheme="minorHAnsi"/>
                <w:sz w:val="18"/>
                <w:szCs w:val="18"/>
              </w:rPr>
              <w:t>If an employee</w:t>
            </w:r>
            <w:r w:rsidR="004700F4">
              <w:rPr>
                <w:rFonts w:cstheme="minorHAnsi"/>
                <w:sz w:val="18"/>
                <w:szCs w:val="18"/>
              </w:rPr>
              <w:t xml:space="preserve"> or</w:t>
            </w:r>
            <w:r w:rsidRPr="00971EE1">
              <w:rPr>
                <w:rFonts w:cstheme="minorHAnsi"/>
                <w:sz w:val="18"/>
                <w:szCs w:val="18"/>
              </w:rPr>
              <w:t xml:space="preserve"> known visitor tests positive for coronavirus, all staff who have been in contact with that person or who work in the relevant areas will be instructed to quarantine and seek a test in line with </w:t>
            </w:r>
            <w:hyperlink r:id="rId8" w:history="1">
              <w:r w:rsidRPr="00971EE1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971EE1"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971EE1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 w:rsidR="00971EE1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971EE1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971EE1">
              <w:rPr>
                <w:rFonts w:cstheme="minorHAnsi"/>
                <w:sz w:val="18"/>
                <w:szCs w:val="18"/>
              </w:rPr>
              <w:t>.</w:t>
            </w:r>
          </w:p>
          <w:p w14:paraId="55A4805B" w14:textId="0B4080C2" w:rsidR="00817D21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BE29123" w14:textId="230BE52A" w:rsidR="00102250" w:rsidRDefault="00102250" w:rsidP="00B447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a resident, guest or customer </w:t>
            </w:r>
            <w:r w:rsidRPr="00102250">
              <w:rPr>
                <w:rFonts w:cstheme="minorHAnsi"/>
                <w:sz w:val="18"/>
                <w:szCs w:val="18"/>
              </w:rPr>
              <w:t xml:space="preserve">presents themselves with symptoms of COVID-19 or is asymptomatic but declares the need to self-isolate, they should be advised to check out and return home to self-isolate according to </w:t>
            </w:r>
            <w:hyperlink r:id="rId9" w:history="1">
              <w:r w:rsidRPr="00102250">
                <w:rPr>
                  <w:rStyle w:val="Hyperlink"/>
                  <w:rFonts w:cstheme="minorHAnsi"/>
                  <w:sz w:val="18"/>
                  <w:szCs w:val="18"/>
                </w:rPr>
                <w:t>current government guidance</w:t>
              </w:r>
            </w:hyperlink>
            <w:r w:rsidRPr="00102250">
              <w:rPr>
                <w:rFonts w:cstheme="minorHAnsi"/>
                <w:sz w:val="18"/>
                <w:szCs w:val="18"/>
              </w:rPr>
              <w:t>.</w:t>
            </w:r>
          </w:p>
          <w:p w14:paraId="62117C82" w14:textId="77777777" w:rsidR="00102250" w:rsidRDefault="00102250" w:rsidP="00B44793">
            <w:pPr>
              <w:rPr>
                <w:rFonts w:cstheme="minorHAnsi"/>
                <w:sz w:val="18"/>
                <w:szCs w:val="18"/>
              </w:rPr>
            </w:pPr>
          </w:p>
          <w:p w14:paraId="264B4D54" w14:textId="1D2A4B91" w:rsidR="003E216F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10" w:history="1">
              <w:r w:rsidRPr="00971EE1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971EE1">
              <w:rPr>
                <w:rFonts w:cstheme="minorHAnsi"/>
                <w:sz w:val="18"/>
                <w:szCs w:val="18"/>
              </w:rPr>
              <w:t>.</w:t>
            </w:r>
            <w:r w:rsidR="00102250">
              <w:rPr>
                <w:rFonts w:cstheme="minorHAnsi"/>
                <w:sz w:val="18"/>
                <w:szCs w:val="18"/>
              </w:rPr>
              <w:t xml:space="preserve"> </w:t>
            </w:r>
            <w:r w:rsidR="003E216F">
              <w:rPr>
                <w:rFonts w:cstheme="minorHAnsi"/>
                <w:sz w:val="18"/>
                <w:szCs w:val="18"/>
              </w:rPr>
              <w:t xml:space="preserve">Further cleaning measures </w:t>
            </w:r>
            <w:r w:rsidR="00661080">
              <w:rPr>
                <w:rFonts w:cstheme="minorHAnsi"/>
                <w:sz w:val="18"/>
                <w:szCs w:val="18"/>
              </w:rPr>
              <w:t xml:space="preserve">are laid out in the relevant </w:t>
            </w:r>
            <w:hyperlink r:id="rId11" w:history="1">
              <w:r w:rsidR="00661080"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 w:rsidR="004700F4">
              <w:t>.</w:t>
            </w:r>
            <w:r w:rsidR="0066108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074145" w14:textId="321844BF" w:rsidR="00971EE1" w:rsidRPr="00971EE1" w:rsidRDefault="00971EE1" w:rsidP="00B44793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C5FA11A" w14:textId="533D0A2B" w:rsidR="00817D21" w:rsidRPr="00971EE1" w:rsidRDefault="00817D21" w:rsidP="00B447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41C4A" w14:textId="0110F21B" w:rsidR="00817D21" w:rsidRPr="004636CC" w:rsidRDefault="009E1804" w:rsidP="00B44793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E256A" w14:textId="0224A791" w:rsidR="00817D21" w:rsidRPr="00971EE1" w:rsidRDefault="00817D21" w:rsidP="00B4479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E121657" w14:textId="4E09D12F" w:rsidR="007A3ACB" w:rsidRPr="007A3ACB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Guidance and recommended risk control measures will be sourced directly from the </w:t>
            </w:r>
            <w:hyperlink r:id="rId12" w:history="1">
              <w:r w:rsidR="004D717D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tourism </w:t>
              </w:r>
              <w:r w:rsidR="004700F4">
                <w:rPr>
                  <w:rStyle w:val="Hyperlink"/>
                  <w:rFonts w:cstheme="minorHAnsi"/>
                  <w:sz w:val="18"/>
                  <w:szCs w:val="18"/>
                </w:rPr>
                <w:t>and</w:t>
              </w:r>
              <w:r w:rsidR="004D717D">
                <w:rPr>
                  <w:rStyle w:val="Hyperlink"/>
                  <w:rFonts w:cstheme="minorHAnsi"/>
                  <w:sz w:val="18"/>
                  <w:szCs w:val="18"/>
                </w:rPr>
                <w:t xml:space="preserve"> hospitality sector guidance</w:t>
              </w:r>
            </w:hyperlink>
            <w:r w:rsidR="007A3ACB">
              <w:rPr>
                <w:rFonts w:cstheme="minorHAnsi"/>
                <w:sz w:val="18"/>
                <w:szCs w:val="18"/>
              </w:rPr>
              <w:t>.</w:t>
            </w:r>
          </w:p>
          <w:p w14:paraId="0C45C087" w14:textId="77777777" w:rsidR="00817D21" w:rsidRPr="00971EE1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DE27E0" w14:textId="5AC933DD" w:rsidR="007A3ACB" w:rsidRPr="007A3ACB" w:rsidRDefault="00817D21" w:rsidP="00B44793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Employer guidance on testing will be sought by accessing relevant </w:t>
            </w:r>
            <w:hyperlink r:id="rId13" w:history="1">
              <w:r w:rsidRPr="00971EE1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7A3ACB">
                <w:rPr>
                  <w:rStyle w:val="Hyperlink"/>
                  <w:rFonts w:cstheme="minorHAnsi"/>
                  <w:sz w:val="18"/>
                  <w:szCs w:val="18"/>
                </w:rPr>
                <w:t>testing guidance</w:t>
              </w:r>
            </w:hyperlink>
            <w:r w:rsidR="007A3AC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1080" w:rsidRPr="002A1FA5" w14:paraId="191642CD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021B7782" w14:textId="072F2B7C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lastRenderedPageBreak/>
              <w:t xml:space="preserve">Working in the </w:t>
            </w:r>
            <w:r>
              <w:rPr>
                <w:rFonts w:cstheme="minorHAnsi"/>
                <w:sz w:val="18"/>
                <w:szCs w:val="18"/>
              </w:rPr>
              <w:t>hotel/bar/restaurant</w:t>
            </w:r>
          </w:p>
        </w:tc>
        <w:tc>
          <w:tcPr>
            <w:tcW w:w="1795" w:type="dxa"/>
            <w:vAlign w:val="center"/>
          </w:tcPr>
          <w:p w14:paraId="72C45638" w14:textId="009F34B5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00376D6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0FF2B3A1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6CE1F0B1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Guests Residents</w:t>
            </w:r>
          </w:p>
          <w:p w14:paraId="32DBA1E6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2EDEC81A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712C91B0" w14:textId="54491B82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0BE58482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FE7CFA4" w14:textId="7F191463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1590E8" w14:textId="00301DC5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0F930BF6" w14:textId="722B6E1F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Two-metre</w:t>
            </w:r>
            <w:r w:rsidRPr="00971EE1">
              <w:rPr>
                <w:rFonts w:cstheme="minorHAnsi"/>
                <w:sz w:val="18"/>
                <w:szCs w:val="18"/>
              </w:rPr>
              <w:t xml:space="preserve"> distance paint/markings on floors to assist people in complying with distancing regulations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3E9577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6F8B971" w14:textId="072C90C1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Hygiene posters and signage installed throughout the premises in strategic locations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EEEFB45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12A4A07" w14:textId="59348C70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Customer numbers limited to </w:t>
            </w:r>
            <w:r w:rsidRPr="00971EE1">
              <w:rPr>
                <w:rFonts w:cstheme="minorHAnsi"/>
                <w:color w:val="FF0000"/>
                <w:sz w:val="18"/>
                <w:szCs w:val="18"/>
              </w:rPr>
              <w:t xml:space="preserve">xx </w:t>
            </w:r>
            <w:r w:rsidRPr="00971EE1">
              <w:rPr>
                <w:rFonts w:cstheme="minorHAnsi"/>
                <w:sz w:val="18"/>
                <w:szCs w:val="18"/>
              </w:rPr>
              <w:t>at any one time.</w:t>
            </w:r>
            <w:r w:rsidR="009C3D75">
              <w:rPr>
                <w:rFonts w:cstheme="minorHAnsi"/>
                <w:sz w:val="18"/>
                <w:szCs w:val="18"/>
              </w:rPr>
              <w:t xml:space="preserve">  Spacing to take in to account likely pinch points, location of tables </w:t>
            </w:r>
            <w:r w:rsidR="004700F4">
              <w:rPr>
                <w:rFonts w:cstheme="minorHAnsi"/>
                <w:sz w:val="18"/>
                <w:szCs w:val="18"/>
              </w:rPr>
              <w:t>and</w:t>
            </w:r>
            <w:r w:rsidR="009C3D75">
              <w:rPr>
                <w:rFonts w:cstheme="minorHAnsi"/>
                <w:sz w:val="18"/>
                <w:szCs w:val="18"/>
              </w:rPr>
              <w:t xml:space="preserve"> chairs and passing places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5E66BEB7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6AF59F5" w14:textId="48D5DC99" w:rsidR="00661080" w:rsidRPr="00971EE1" w:rsidRDefault="00661080" w:rsidP="00661080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971EE1">
              <w:rPr>
                <w:rFonts w:cstheme="minorHAnsi"/>
                <w:color w:val="FF0000"/>
                <w:sz w:val="18"/>
                <w:szCs w:val="18"/>
              </w:rPr>
              <w:t>Lifts only to be used by people with disabilities, for essential purposes or on a one</w:t>
            </w:r>
            <w:r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971EE1">
              <w:rPr>
                <w:rFonts w:cstheme="minorHAnsi"/>
                <w:color w:val="FF0000"/>
                <w:sz w:val="18"/>
                <w:szCs w:val="18"/>
              </w:rPr>
              <w:t>person</w:t>
            </w:r>
            <w:r w:rsidR="009C3D75">
              <w:rPr>
                <w:rFonts w:cstheme="minorHAnsi"/>
                <w:color w:val="FF0000"/>
                <w:sz w:val="18"/>
                <w:szCs w:val="18"/>
              </w:rPr>
              <w:t>/one-household</w:t>
            </w:r>
            <w:r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971EE1">
              <w:rPr>
                <w:rFonts w:cstheme="minorHAnsi"/>
                <w:color w:val="FF0000"/>
                <w:sz w:val="18"/>
                <w:szCs w:val="18"/>
              </w:rPr>
              <w:t>per</w:t>
            </w:r>
            <w:r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971EE1">
              <w:rPr>
                <w:rFonts w:cstheme="minorHAnsi"/>
                <w:color w:val="FF0000"/>
                <w:sz w:val="18"/>
                <w:szCs w:val="18"/>
              </w:rPr>
              <w:t>lift basis where possible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301ADFED" w14:textId="77777777" w:rsidR="00661080" w:rsidRPr="00971EE1" w:rsidRDefault="00661080" w:rsidP="00661080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14:paraId="56BFB8CD" w14:textId="40A20254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Work shifts staggered to reduce crowding of the workplace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42165E5" w14:textId="4F7CC21B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02F6E90" w14:textId="4FFC966E" w:rsidR="009C3D75" w:rsidRDefault="009C3D75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Arrival and departure times to be staggered to help reduce crowding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55D7C2F8" w14:textId="515F7EAE" w:rsidR="009C3D75" w:rsidRDefault="009C3D75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78BCA34" w14:textId="2823C976" w:rsidR="009C3D75" w:rsidRDefault="009C3D75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Restaurant bookings to be spread out to reduce crowding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3AFF13D6" w14:textId="66A8DD5E" w:rsidR="009C3D75" w:rsidRDefault="009C3D75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1A0751F" w14:textId="7FF482FD" w:rsidR="009C3D75" w:rsidRDefault="009C3D75" w:rsidP="009C3D75">
            <w:pPr>
              <w:rPr>
                <w:rFonts w:cstheme="minorHAnsi"/>
                <w:sz w:val="18"/>
                <w:szCs w:val="18"/>
              </w:rPr>
            </w:pPr>
            <w:r w:rsidRPr="009C3D75">
              <w:rPr>
                <w:rFonts w:cstheme="minorHAnsi"/>
                <w:sz w:val="18"/>
                <w:szCs w:val="18"/>
              </w:rPr>
              <w:t>Discourage drinking at the bar to reduce crowding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56898593" w14:textId="74D64139" w:rsidR="009C3D75" w:rsidRDefault="009C3D75" w:rsidP="009C3D75">
            <w:pPr>
              <w:rPr>
                <w:rFonts w:cstheme="minorHAnsi"/>
                <w:sz w:val="18"/>
                <w:szCs w:val="18"/>
              </w:rPr>
            </w:pPr>
          </w:p>
          <w:p w14:paraId="5A912C54" w14:textId="7CD71896" w:rsidR="009C3D75" w:rsidRPr="00053104" w:rsidRDefault="009C3D75" w:rsidP="009C3D75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53104">
              <w:rPr>
                <w:rFonts w:cstheme="minorHAnsi"/>
                <w:color w:val="FF0000"/>
                <w:sz w:val="18"/>
                <w:szCs w:val="18"/>
              </w:rPr>
              <w:t xml:space="preserve">Consult relevant </w:t>
            </w:r>
            <w:hyperlink r:id="rId14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53104">
              <w:rPr>
                <w:rFonts w:cstheme="minorHAnsi"/>
                <w:color w:val="FF0000"/>
                <w:sz w:val="18"/>
                <w:szCs w:val="18"/>
              </w:rPr>
              <w:t xml:space="preserve">on 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r</w:t>
            </w:r>
            <w:r w:rsidRPr="00053104">
              <w:rPr>
                <w:rFonts w:cstheme="minorHAnsi"/>
                <w:color w:val="FF0000"/>
                <w:sz w:val="18"/>
                <w:szCs w:val="18"/>
              </w:rPr>
              <w:t>oom</w:t>
            </w:r>
            <w:r w:rsidR="00053104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b</w:t>
            </w:r>
            <w:r w:rsidR="00053104">
              <w:rPr>
                <w:rFonts w:cstheme="minorHAnsi"/>
                <w:color w:val="FF0000"/>
                <w:sz w:val="18"/>
                <w:szCs w:val="18"/>
              </w:rPr>
              <w:t xml:space="preserve">ar 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and</w:t>
            </w:r>
            <w:r w:rsidR="0005310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t</w:t>
            </w:r>
            <w:r w:rsidR="00053104">
              <w:rPr>
                <w:rFonts w:cstheme="minorHAnsi"/>
                <w:color w:val="FF0000"/>
                <w:sz w:val="18"/>
                <w:szCs w:val="18"/>
              </w:rPr>
              <w:t>able</w:t>
            </w:r>
            <w:r w:rsidRPr="0005310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053104">
              <w:rPr>
                <w:rFonts w:cstheme="minorHAnsi"/>
                <w:color w:val="FF0000"/>
                <w:sz w:val="18"/>
                <w:szCs w:val="18"/>
              </w:rPr>
              <w:t>ervice and ensure it is carried out safely with str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i</w:t>
            </w:r>
            <w:r w:rsidRPr="00053104">
              <w:rPr>
                <w:rFonts w:cstheme="minorHAnsi"/>
                <w:color w:val="FF0000"/>
                <w:sz w:val="18"/>
                <w:szCs w:val="18"/>
              </w:rPr>
              <w:t>ct distancing and hygiene measures</w:t>
            </w:r>
            <w:r w:rsidR="00053104">
              <w:rPr>
                <w:rFonts w:cstheme="minorHAnsi"/>
                <w:color w:val="FF0000"/>
                <w:sz w:val="18"/>
                <w:szCs w:val="18"/>
              </w:rPr>
              <w:t xml:space="preserve"> in place</w:t>
            </w:r>
            <w:r w:rsidR="004700F4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11F7167F" w14:textId="77777777" w:rsidR="009C3D75" w:rsidRPr="00971EE1" w:rsidRDefault="009C3D75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33C5332" w14:textId="1A19F38A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Pinch</w:t>
            </w:r>
            <w:r w:rsidR="004700F4">
              <w:rPr>
                <w:rFonts w:cstheme="minorHAnsi"/>
                <w:sz w:val="18"/>
                <w:szCs w:val="18"/>
              </w:rPr>
              <w:t xml:space="preserve"> </w:t>
            </w:r>
            <w:r w:rsidRPr="00971EE1">
              <w:rPr>
                <w:rFonts w:cstheme="minorHAnsi"/>
                <w:sz w:val="18"/>
                <w:szCs w:val="18"/>
              </w:rPr>
              <w:t>points identified</w:t>
            </w:r>
            <w:r w:rsidR="00FE4454">
              <w:rPr>
                <w:rFonts w:cstheme="minorHAnsi"/>
                <w:sz w:val="18"/>
                <w:szCs w:val="18"/>
              </w:rPr>
              <w:t>,</w:t>
            </w:r>
            <w:r w:rsidRPr="00971EE1">
              <w:rPr>
                <w:rFonts w:cstheme="minorHAnsi"/>
                <w:sz w:val="18"/>
                <w:szCs w:val="18"/>
              </w:rPr>
              <w:t xml:space="preserve"> and signage installed to avoid close physical contact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  <w:r w:rsidRPr="00971E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C50A73D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2CB596" w14:textId="34C2BDF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Remote working tools to be used to avoid in-person meetings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73F2105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BE29B73" w14:textId="2DFE86F2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Break times staggered and outdoor space used where possible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F72746D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81B7D77" w14:textId="1EFA6828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All staff are trained on new procedures prior to returning to work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7A7AC3" w14:textId="00C42F1C" w:rsidR="009C3D75" w:rsidRDefault="009C3D75" w:rsidP="00661080">
            <w:pPr>
              <w:rPr>
                <w:rFonts w:cstheme="minorHAnsi"/>
                <w:sz w:val="18"/>
                <w:szCs w:val="18"/>
              </w:rPr>
            </w:pPr>
          </w:p>
          <w:p w14:paraId="4564F550" w14:textId="445410F6" w:rsidR="00661080" w:rsidRPr="00971EE1" w:rsidRDefault="00661080" w:rsidP="009C3D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23E085" w14:textId="5DCE1245" w:rsidR="00661080" w:rsidRPr="00971EE1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691BB7" w14:textId="67BBE434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92DAB" w14:textId="77777777" w:rsidR="00661080" w:rsidRPr="00971EE1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02604FD" w14:textId="3FAEFB79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Two-metre</w:t>
            </w:r>
            <w:r w:rsidRPr="00971EE1">
              <w:rPr>
                <w:rFonts w:cstheme="minorHAnsi"/>
                <w:sz w:val="18"/>
                <w:szCs w:val="18"/>
              </w:rPr>
              <w:t xml:space="preserve"> distance paint/markings to be considered on floors in other common areas where queues may form (e.g. </w:t>
            </w:r>
            <w:r w:rsidR="009C3D75">
              <w:rPr>
                <w:rFonts w:cstheme="minorHAnsi"/>
                <w:sz w:val="18"/>
                <w:szCs w:val="18"/>
              </w:rPr>
              <w:t xml:space="preserve">receptions, waiting areas, </w:t>
            </w:r>
            <w:r w:rsidRPr="00971EE1">
              <w:rPr>
                <w:rFonts w:cstheme="minorHAnsi"/>
                <w:sz w:val="18"/>
                <w:szCs w:val="18"/>
              </w:rPr>
              <w:t>toilets</w:t>
            </w:r>
            <w:r w:rsidR="009C3D75">
              <w:rPr>
                <w:rFonts w:cstheme="minorHAnsi"/>
                <w:sz w:val="18"/>
                <w:szCs w:val="18"/>
              </w:rPr>
              <w:t>, kitchens, showers, lockers, changing rooms and smoking shelters</w:t>
            </w:r>
            <w:r w:rsidRPr="00971EE1">
              <w:rPr>
                <w:rFonts w:cstheme="minorHAnsi"/>
                <w:sz w:val="18"/>
                <w:szCs w:val="18"/>
              </w:rPr>
              <w:t>)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45362AD8" w14:textId="77777777" w:rsidR="00102250" w:rsidRPr="00102250" w:rsidRDefault="0010225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EB8C52C" w14:textId="38C20891" w:rsidR="00661080" w:rsidRPr="0010225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102250">
              <w:rPr>
                <w:rFonts w:cstheme="minorHAnsi"/>
                <w:sz w:val="18"/>
                <w:szCs w:val="18"/>
              </w:rPr>
              <w:t>If more than one access point, introduce a one-way system at entry/exit points if possible.</w:t>
            </w:r>
          </w:p>
          <w:p w14:paraId="7171187A" w14:textId="77777777" w:rsidR="00661080" w:rsidRPr="0010225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1AC4E4F4" w14:textId="36F224CD" w:rsidR="00661080" w:rsidRPr="0010225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102250">
              <w:rPr>
                <w:rFonts w:cstheme="minorHAnsi"/>
                <w:sz w:val="18"/>
                <w:szCs w:val="18"/>
              </w:rPr>
              <w:t>Reduce overcrowding by providing additional entry points</w:t>
            </w:r>
            <w:r w:rsidR="009C3D75" w:rsidRPr="00102250">
              <w:rPr>
                <w:rFonts w:cstheme="minorHAnsi"/>
                <w:sz w:val="18"/>
                <w:szCs w:val="18"/>
              </w:rPr>
              <w:t xml:space="preserve"> where possible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0E901606" w14:textId="77777777" w:rsidR="00661080" w:rsidRPr="0010225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48A98C31" w14:textId="4F26B5F1" w:rsidR="00661080" w:rsidRPr="0010225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102250">
              <w:rPr>
                <w:rFonts w:cstheme="minorHAnsi"/>
                <w:sz w:val="18"/>
                <w:szCs w:val="18"/>
              </w:rPr>
              <w:t>Consider amendment of opening hours.</w:t>
            </w:r>
          </w:p>
          <w:p w14:paraId="1B1EB40C" w14:textId="03EDED81" w:rsidR="009C3D75" w:rsidRPr="00102250" w:rsidRDefault="009C3D75" w:rsidP="00661080">
            <w:pPr>
              <w:rPr>
                <w:rFonts w:cstheme="minorHAnsi"/>
                <w:sz w:val="18"/>
                <w:szCs w:val="18"/>
              </w:rPr>
            </w:pPr>
          </w:p>
          <w:p w14:paraId="59BD29BB" w14:textId="68A2615D" w:rsidR="009C3D75" w:rsidRPr="00102250" w:rsidRDefault="009C3D75" w:rsidP="00661080">
            <w:pPr>
              <w:rPr>
                <w:rFonts w:cstheme="minorHAnsi"/>
                <w:sz w:val="18"/>
                <w:szCs w:val="18"/>
              </w:rPr>
            </w:pPr>
            <w:r w:rsidRPr="00102250">
              <w:rPr>
                <w:rFonts w:cstheme="minorHAnsi"/>
                <w:sz w:val="18"/>
                <w:szCs w:val="18"/>
              </w:rPr>
              <w:t>Consider booking system in bar</w:t>
            </w:r>
            <w:r w:rsidR="004700F4">
              <w:rPr>
                <w:rFonts w:cstheme="minorHAnsi"/>
                <w:sz w:val="18"/>
                <w:szCs w:val="18"/>
              </w:rPr>
              <w:t xml:space="preserve"> </w:t>
            </w:r>
            <w:r w:rsidRPr="00102250">
              <w:rPr>
                <w:rFonts w:cstheme="minorHAnsi"/>
                <w:sz w:val="18"/>
                <w:szCs w:val="18"/>
              </w:rPr>
              <w:t>/</w:t>
            </w:r>
            <w:r w:rsidR="004700F4">
              <w:rPr>
                <w:rFonts w:cstheme="minorHAnsi"/>
                <w:sz w:val="18"/>
                <w:szCs w:val="18"/>
              </w:rPr>
              <w:t xml:space="preserve"> </w:t>
            </w:r>
            <w:r w:rsidRPr="00102250">
              <w:rPr>
                <w:rFonts w:cstheme="minorHAnsi"/>
                <w:sz w:val="18"/>
                <w:szCs w:val="18"/>
              </w:rPr>
              <w:t>time limit to reduce crowding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1A6FE51F" w14:textId="51B5A7DC" w:rsidR="009C3D75" w:rsidRPr="00102250" w:rsidRDefault="009C3D75" w:rsidP="00661080">
            <w:pPr>
              <w:rPr>
                <w:rFonts w:cstheme="minorHAnsi"/>
                <w:sz w:val="18"/>
                <w:szCs w:val="18"/>
              </w:rPr>
            </w:pPr>
          </w:p>
          <w:p w14:paraId="1E365E83" w14:textId="0B90BD6A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Layout of workplace to be reviewed to </w:t>
            </w:r>
            <w:r w:rsidR="004700F4">
              <w:rPr>
                <w:rFonts w:cstheme="minorHAnsi"/>
                <w:sz w:val="18"/>
                <w:szCs w:val="18"/>
              </w:rPr>
              <w:t>allow</w:t>
            </w:r>
            <w:r w:rsidRPr="00971EE1">
              <w:rPr>
                <w:rFonts w:cstheme="minorHAnsi"/>
                <w:sz w:val="18"/>
                <w:szCs w:val="18"/>
              </w:rPr>
              <w:t xml:space="preserve"> employees </w:t>
            </w:r>
            <w:r w:rsidR="004700F4">
              <w:rPr>
                <w:rFonts w:cstheme="minorHAnsi"/>
                <w:sz w:val="18"/>
                <w:szCs w:val="18"/>
              </w:rPr>
              <w:t xml:space="preserve">to </w:t>
            </w:r>
            <w:r w:rsidRPr="00971EE1">
              <w:rPr>
                <w:rFonts w:cstheme="minorHAnsi"/>
                <w:sz w:val="18"/>
                <w:szCs w:val="18"/>
              </w:rPr>
              <w:t>work further apart from each other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5B820A" w14:textId="2C9879A0" w:rsidR="00053104" w:rsidRDefault="00053104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07EA73E" w14:textId="4ABF310C" w:rsidR="00053104" w:rsidRPr="00971EE1" w:rsidRDefault="00053104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Layout plan will be produced to assist all persons with safe movement around the premises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  <w:p w14:paraId="26D482DC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1ACFF66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Where employees are working together, we will consider using pairing or grouping systems on shifts.</w:t>
            </w:r>
          </w:p>
          <w:p w14:paraId="39838156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1B39F26F" w14:textId="23C97346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Relevant </w:t>
            </w:r>
            <w:hyperlink r:id="rId15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will be reviewed and further actions implemented where necessary</w:t>
            </w:r>
            <w:r w:rsidR="004700F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1080" w:rsidRPr="002A1FA5" w14:paraId="790B2EA4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49F37E8D" w14:textId="0EF2DF73" w:rsidR="00661080" w:rsidRPr="00971EE1" w:rsidRDefault="00661080" w:rsidP="00661080">
            <w:pPr>
              <w:rPr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lastRenderedPageBreak/>
              <w:t>Arranging customer queueing system</w:t>
            </w:r>
          </w:p>
        </w:tc>
        <w:tc>
          <w:tcPr>
            <w:tcW w:w="1795" w:type="dxa"/>
            <w:vAlign w:val="center"/>
          </w:tcPr>
          <w:p w14:paraId="1D4AB467" w14:textId="26378225" w:rsidR="00661080" w:rsidRPr="00971EE1" w:rsidRDefault="00661080" w:rsidP="00661080">
            <w:pPr>
              <w:rPr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0D4B405F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1AF13323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32438927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Guests Residents</w:t>
            </w:r>
          </w:p>
          <w:p w14:paraId="63F162ED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3E6CFC0F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55F78A57" w14:textId="0D681FB4" w:rsidR="00661080" w:rsidRPr="00971EE1" w:rsidRDefault="00661080" w:rsidP="006610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5FF290B2" w:rsidR="00661080" w:rsidRPr="004636CC" w:rsidRDefault="00661080" w:rsidP="00661080">
            <w:pPr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2468EA6" w14:textId="77A5F7B1" w:rsidR="00661080" w:rsidRPr="004636CC" w:rsidRDefault="00661080" w:rsidP="00661080">
            <w:pPr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7DB2F66" w14:textId="351C4B3F" w:rsidR="00661080" w:rsidRPr="004636CC" w:rsidRDefault="00661080" w:rsidP="00661080">
            <w:pPr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230FA6E6" w14:textId="1673019E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Opening hours to be amended to reduce peak customer numbers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A82950E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9D0935" w14:textId="3BC0994C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Signage/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971EE1">
              <w:rPr>
                <w:rFonts w:cstheme="minorHAnsi"/>
                <w:sz w:val="18"/>
                <w:szCs w:val="18"/>
              </w:rPr>
              <w:t xml:space="preserve">ape at </w:t>
            </w:r>
            <w:r>
              <w:rPr>
                <w:rFonts w:cstheme="minorHAnsi"/>
                <w:sz w:val="18"/>
                <w:szCs w:val="18"/>
              </w:rPr>
              <w:t>two-</w:t>
            </w:r>
            <w:bookmarkStart w:id="0" w:name="_GoBack"/>
            <w:r>
              <w:rPr>
                <w:rFonts w:cstheme="minorHAnsi"/>
                <w:sz w:val="18"/>
                <w:szCs w:val="18"/>
              </w:rPr>
              <w:t>metre</w:t>
            </w:r>
            <w:bookmarkEnd w:id="0"/>
            <w:r w:rsidRPr="00971EE1">
              <w:rPr>
                <w:rFonts w:cstheme="minorHAnsi"/>
                <w:sz w:val="18"/>
                <w:szCs w:val="18"/>
              </w:rPr>
              <w:t xml:space="preserve"> intervals installed at queuing areas to guide customers to adhere to physical distancing measures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9772F44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5D04AB" w14:textId="66C5BBE5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Communication maintained with adjacent premises to manage shared queuing areas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788DA1A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9A97E6B" w14:textId="77777777" w:rsidR="00661080" w:rsidRDefault="00661080" w:rsidP="00053104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971EE1">
              <w:rPr>
                <w:rFonts w:cstheme="minorHAnsi"/>
                <w:color w:val="FF0000"/>
                <w:sz w:val="18"/>
                <w:szCs w:val="18"/>
              </w:rPr>
              <w:t>Car park used for queuing areas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5EB645A1" w14:textId="37CA5EF4" w:rsidR="00466126" w:rsidRPr="00053104" w:rsidRDefault="00466126" w:rsidP="00053104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9A1FB6" w14:textId="77777777" w:rsidR="00661080" w:rsidRPr="00971EE1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BF4402" w14:textId="2E2E828C" w:rsidR="00661080" w:rsidRPr="00971EE1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0F817" w14:textId="77777777" w:rsidR="00661080" w:rsidRPr="00971EE1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7C54B1" w14:textId="0761FCD8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Consider the introduction of a numbering</w:t>
            </w:r>
            <w:r w:rsidR="00053104">
              <w:rPr>
                <w:rFonts w:cstheme="minorHAnsi"/>
                <w:sz w:val="18"/>
                <w:szCs w:val="18"/>
              </w:rPr>
              <w:t>/booking</w:t>
            </w:r>
            <w:r w:rsidRPr="00971EE1">
              <w:rPr>
                <w:rFonts w:cstheme="minorHAnsi"/>
                <w:sz w:val="18"/>
                <w:szCs w:val="18"/>
              </w:rPr>
              <w:t xml:space="preserve"> </w:t>
            </w:r>
            <w:r w:rsidR="00053104">
              <w:rPr>
                <w:rFonts w:cstheme="minorHAnsi"/>
                <w:sz w:val="18"/>
                <w:szCs w:val="18"/>
              </w:rPr>
              <w:t>s</w:t>
            </w:r>
            <w:r w:rsidRPr="00971EE1">
              <w:rPr>
                <w:rFonts w:cstheme="minorHAnsi"/>
                <w:sz w:val="18"/>
                <w:szCs w:val="18"/>
              </w:rPr>
              <w:t>ystem to reduce peak customer numbers</w:t>
            </w:r>
            <w:r w:rsidR="00053104">
              <w:rPr>
                <w:rFonts w:cstheme="minorHAnsi"/>
                <w:sz w:val="18"/>
                <w:szCs w:val="18"/>
              </w:rPr>
              <w:t>.</w:t>
            </w:r>
          </w:p>
          <w:p w14:paraId="65C9DBE5" w14:textId="77777777" w:rsidR="00661080" w:rsidRPr="00971EE1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F5F6158" w14:textId="345A0030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Assistance to be sought from </w:t>
            </w:r>
            <w:r w:rsidR="00466126">
              <w:rPr>
                <w:rFonts w:cstheme="minorHAnsi"/>
                <w:sz w:val="18"/>
                <w:szCs w:val="18"/>
              </w:rPr>
              <w:t>l</w:t>
            </w:r>
            <w:r w:rsidRPr="00971EE1">
              <w:rPr>
                <w:rFonts w:cstheme="minorHAnsi"/>
                <w:sz w:val="18"/>
                <w:szCs w:val="18"/>
              </w:rPr>
              <w:t xml:space="preserve">ocal </w:t>
            </w:r>
            <w:r w:rsidR="00466126">
              <w:rPr>
                <w:rFonts w:cstheme="minorHAnsi"/>
                <w:sz w:val="18"/>
                <w:szCs w:val="18"/>
              </w:rPr>
              <w:t>a</w:t>
            </w:r>
            <w:r w:rsidRPr="00971EE1">
              <w:rPr>
                <w:rFonts w:cstheme="minorHAnsi"/>
                <w:sz w:val="18"/>
                <w:szCs w:val="18"/>
              </w:rPr>
              <w:t>uthority where shared spaces cannot be reasonably adjusted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C99C352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4E5A4B65" w14:textId="7BC60E6C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Relevant </w:t>
            </w:r>
            <w:hyperlink r:id="rId16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will be reviewed and further actions implemented where necessary</w:t>
            </w:r>
            <w:r w:rsidR="0046612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1080" w:rsidRPr="002A1FA5" w14:paraId="59A14BD5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060D67FA" w14:textId="6DC3BE3D" w:rsidR="00661080" w:rsidRPr="00C2377F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 xml:space="preserve">Adapting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C2377F">
              <w:rPr>
                <w:rFonts w:cstheme="minorHAnsi"/>
                <w:sz w:val="18"/>
                <w:szCs w:val="18"/>
              </w:rPr>
              <w:t>ervices</w:t>
            </w:r>
          </w:p>
        </w:tc>
        <w:tc>
          <w:tcPr>
            <w:tcW w:w="1795" w:type="dxa"/>
            <w:vAlign w:val="center"/>
          </w:tcPr>
          <w:p w14:paraId="4B5A8975" w14:textId="00E83B4A" w:rsidR="00661080" w:rsidRPr="00C2377F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16A1E0D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4F0F9590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23E9A209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Guests Residents</w:t>
            </w:r>
          </w:p>
          <w:p w14:paraId="54F9FC40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154EF9F2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6B582AB6" w14:textId="1DE0D859" w:rsidR="00661080" w:rsidRPr="00C2377F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6B86D2" w14:textId="59DC26A3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8200620" w14:textId="6DC314D4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F97B950" w14:textId="7002EC25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7E553314" w14:textId="23E51494" w:rsidR="00661080" w:rsidRPr="00C2377F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>Face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C2377F">
              <w:rPr>
                <w:rFonts w:cstheme="minorHAnsi"/>
                <w:sz w:val="18"/>
                <w:szCs w:val="18"/>
              </w:rPr>
              <w:t>to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C2377F">
              <w:rPr>
                <w:rFonts w:cstheme="minorHAnsi"/>
                <w:sz w:val="18"/>
                <w:szCs w:val="18"/>
              </w:rPr>
              <w:t xml:space="preserve">face services where </w:t>
            </w:r>
            <w:r>
              <w:rPr>
                <w:rFonts w:cstheme="minorHAnsi"/>
                <w:sz w:val="18"/>
                <w:szCs w:val="18"/>
              </w:rPr>
              <w:t>two-</w:t>
            </w:r>
            <w:r w:rsidRPr="00C2377F">
              <w:rPr>
                <w:rFonts w:cstheme="minorHAnsi"/>
                <w:sz w:val="18"/>
                <w:szCs w:val="18"/>
              </w:rPr>
              <w:t>metre distancing cannot be maintained have ceased until further notice (</w:t>
            </w:r>
            <w:r>
              <w:rPr>
                <w:rFonts w:cstheme="minorHAnsi"/>
                <w:sz w:val="18"/>
                <w:szCs w:val="18"/>
              </w:rPr>
              <w:t>e.g.</w:t>
            </w:r>
            <w:r w:rsidRPr="00C2377F">
              <w:rPr>
                <w:rFonts w:cstheme="minorHAnsi"/>
                <w:sz w:val="18"/>
                <w:szCs w:val="18"/>
              </w:rPr>
              <w:t xml:space="preserve"> </w:t>
            </w:r>
            <w:r w:rsidR="00466126">
              <w:rPr>
                <w:rFonts w:cstheme="minorHAnsi"/>
                <w:sz w:val="18"/>
                <w:szCs w:val="18"/>
              </w:rPr>
              <w:t>s</w:t>
            </w:r>
            <w:r w:rsidR="00053104">
              <w:rPr>
                <w:rFonts w:cstheme="minorHAnsi"/>
                <w:sz w:val="18"/>
                <w:szCs w:val="18"/>
              </w:rPr>
              <w:t>pa, beauty treatments, salons</w:t>
            </w:r>
            <w:r w:rsidR="00466126">
              <w:rPr>
                <w:rFonts w:cstheme="minorHAnsi"/>
                <w:sz w:val="18"/>
                <w:szCs w:val="18"/>
              </w:rPr>
              <w:t>,</w:t>
            </w:r>
            <w:r w:rsidR="00053104">
              <w:rPr>
                <w:rFonts w:cstheme="minorHAnsi"/>
                <w:sz w:val="18"/>
                <w:szCs w:val="18"/>
              </w:rPr>
              <w:t xml:space="preserve"> etc.</w:t>
            </w:r>
            <w:r w:rsidRPr="00C2377F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5957815" w14:textId="77777777" w:rsidR="00661080" w:rsidRPr="00C2377F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B950F36" w14:textId="26534A08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 xml:space="preserve">Screens installed at points where </w:t>
            </w:r>
            <w:r>
              <w:rPr>
                <w:rFonts w:cstheme="minorHAnsi"/>
                <w:sz w:val="18"/>
                <w:szCs w:val="18"/>
              </w:rPr>
              <w:t>two-metre</w:t>
            </w:r>
            <w:r w:rsidRPr="00C2377F">
              <w:rPr>
                <w:rFonts w:cstheme="minorHAnsi"/>
                <w:sz w:val="18"/>
                <w:szCs w:val="18"/>
              </w:rPr>
              <w:t xml:space="preserve"> distancing and contact cannot be avoided</w:t>
            </w:r>
            <w:r w:rsidR="00053104">
              <w:rPr>
                <w:rFonts w:cstheme="minorHAnsi"/>
                <w:sz w:val="18"/>
                <w:szCs w:val="18"/>
              </w:rPr>
              <w:t xml:space="preserve"> (e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053104">
              <w:rPr>
                <w:rFonts w:cstheme="minorHAnsi"/>
                <w:sz w:val="18"/>
                <w:szCs w:val="18"/>
              </w:rPr>
              <w:t>g. reception desk, till points, bar</w:t>
            </w:r>
            <w:r w:rsidR="00466126">
              <w:rPr>
                <w:rFonts w:cstheme="minorHAnsi"/>
                <w:sz w:val="18"/>
                <w:szCs w:val="18"/>
              </w:rPr>
              <w:t>,</w:t>
            </w:r>
            <w:r w:rsidR="00053104">
              <w:rPr>
                <w:rFonts w:cstheme="minorHAnsi"/>
                <w:sz w:val="18"/>
                <w:szCs w:val="18"/>
              </w:rPr>
              <w:t xml:space="preserve"> etc.) </w:t>
            </w:r>
          </w:p>
          <w:p w14:paraId="4F75491E" w14:textId="6182E2AE" w:rsidR="00053104" w:rsidRDefault="00053104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F772663" w14:textId="77140778" w:rsidR="00661080" w:rsidRDefault="00661080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>Increase ventilation where possible and w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C2377F">
              <w:rPr>
                <w:rFonts w:cstheme="minorHAnsi"/>
                <w:sz w:val="18"/>
                <w:szCs w:val="18"/>
              </w:rPr>
              <w:t>ere it is safe to do so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C2377F">
              <w:rPr>
                <w:rFonts w:cstheme="minorHAnsi"/>
                <w:sz w:val="18"/>
                <w:szCs w:val="18"/>
              </w:rPr>
              <w:t xml:space="preserve"> i.e. do not keep fire safety doors open.</w:t>
            </w:r>
          </w:p>
          <w:p w14:paraId="566F727D" w14:textId="0C8814D5" w:rsidR="00581E2C" w:rsidRDefault="00581E2C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5B93E6AD" w14:textId="718BE7D6" w:rsidR="00581E2C" w:rsidRDefault="00581E2C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 travel to/from the premises is encouraged for all (e.g. walk/cycle)</w:t>
            </w:r>
            <w:r w:rsidR="00623978">
              <w:rPr>
                <w:rFonts w:cstheme="minorHAnsi"/>
                <w:sz w:val="18"/>
                <w:szCs w:val="18"/>
              </w:rPr>
              <w:t>.</w:t>
            </w:r>
          </w:p>
          <w:p w14:paraId="736AE5BF" w14:textId="77777777" w:rsidR="00661080" w:rsidRDefault="00661080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D2D610E" w14:textId="1F49F17C" w:rsidR="00053104" w:rsidRDefault="00053104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Licensing board consulted and informed of all relevant adaptations to service</w:t>
            </w:r>
            <w:r w:rsidR="00623978">
              <w:rPr>
                <w:rFonts w:cstheme="minorHAnsi"/>
                <w:sz w:val="18"/>
                <w:szCs w:val="18"/>
              </w:rPr>
              <w:t>.</w:t>
            </w:r>
          </w:p>
          <w:p w14:paraId="63FF91E6" w14:textId="6520319D" w:rsidR="00581E2C" w:rsidRDefault="00581E2C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All adaptations of service to </w:t>
            </w:r>
            <w:proofErr w:type="gramStart"/>
            <w:r>
              <w:rPr>
                <w:rFonts w:cstheme="minorHAnsi"/>
                <w:sz w:val="18"/>
                <w:szCs w:val="18"/>
              </w:rPr>
              <w:t>take into account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how disabled persons access our services (e.g. handwash at wheelchair height, verbal direction for </w:t>
            </w:r>
            <w:r w:rsidR="00623978">
              <w:rPr>
                <w:rFonts w:cstheme="minorHAnsi"/>
                <w:sz w:val="18"/>
                <w:szCs w:val="18"/>
              </w:rPr>
              <w:t xml:space="preserve">the </w:t>
            </w:r>
            <w:r>
              <w:rPr>
                <w:rFonts w:cstheme="minorHAnsi"/>
                <w:sz w:val="18"/>
                <w:szCs w:val="18"/>
              </w:rPr>
              <w:t>visual</w:t>
            </w:r>
            <w:r w:rsidR="00623978">
              <w:rPr>
                <w:rFonts w:cstheme="minorHAnsi"/>
                <w:sz w:val="18"/>
                <w:szCs w:val="18"/>
              </w:rPr>
              <w:t>ly</w:t>
            </w:r>
            <w:r>
              <w:rPr>
                <w:rFonts w:cstheme="minorHAnsi"/>
                <w:sz w:val="18"/>
                <w:szCs w:val="18"/>
              </w:rPr>
              <w:t xml:space="preserve"> impaired)</w:t>
            </w:r>
            <w:r w:rsidR="00623978">
              <w:rPr>
                <w:rFonts w:cstheme="minorHAnsi"/>
                <w:sz w:val="18"/>
                <w:szCs w:val="18"/>
              </w:rPr>
              <w:t>.</w:t>
            </w:r>
          </w:p>
          <w:p w14:paraId="640AC336" w14:textId="77777777" w:rsidR="00581E2C" w:rsidRDefault="00581E2C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2AAD1B0A" w14:textId="261B0ED0" w:rsidR="00581E2C" w:rsidRPr="00C2377F" w:rsidRDefault="00581E2C" w:rsidP="0066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Universal signage used where appropriate to accommodate non-English speaking guests/customers </w:t>
            </w:r>
          </w:p>
        </w:tc>
        <w:tc>
          <w:tcPr>
            <w:tcW w:w="708" w:type="dxa"/>
            <w:vAlign w:val="center"/>
          </w:tcPr>
          <w:p w14:paraId="4DF3148A" w14:textId="459FD7AE" w:rsidR="00661080" w:rsidRPr="00C2377F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67DE09" w14:textId="221B3C9C" w:rsidR="00661080" w:rsidRPr="00C2377F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DA1F7" w14:textId="77777777" w:rsidR="00661080" w:rsidRPr="00C2377F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0084D71" w14:textId="14023485" w:rsidR="00581E2C" w:rsidRDefault="00053104" w:rsidP="00581E2C">
            <w:pPr>
              <w:jc w:val="both"/>
              <w:rPr>
                <w:rStyle w:val="Hyperlink"/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Guidance and recommended risk control measures </w:t>
            </w:r>
            <w:r w:rsidR="00581E2C">
              <w:rPr>
                <w:rFonts w:cstheme="minorHAnsi"/>
                <w:sz w:val="18"/>
                <w:szCs w:val="18"/>
              </w:rPr>
              <w:t xml:space="preserve">from the </w:t>
            </w:r>
            <w:hyperlink r:id="rId17" w:history="1">
              <w:r w:rsidR="00581E2C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tourism </w:t>
              </w:r>
              <w:r w:rsidR="00623978">
                <w:rPr>
                  <w:rStyle w:val="Hyperlink"/>
                  <w:rFonts w:cstheme="minorHAnsi"/>
                  <w:sz w:val="18"/>
                  <w:szCs w:val="18"/>
                </w:rPr>
                <w:t>and</w:t>
              </w:r>
              <w:r w:rsidR="00581E2C">
                <w:rPr>
                  <w:rStyle w:val="Hyperlink"/>
                  <w:rFonts w:cstheme="minorHAnsi"/>
                  <w:sz w:val="18"/>
                  <w:szCs w:val="18"/>
                </w:rPr>
                <w:t xml:space="preserve"> hospitality sector guidance</w:t>
              </w:r>
            </w:hyperlink>
          </w:p>
          <w:p w14:paraId="067ACA9B" w14:textId="5E9E0A91" w:rsidR="00053104" w:rsidRDefault="00053104" w:rsidP="00661080">
            <w:pPr>
              <w:jc w:val="both"/>
              <w:rPr>
                <w:rStyle w:val="Hyperlink"/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will be </w:t>
            </w:r>
            <w:r>
              <w:rPr>
                <w:rFonts w:cstheme="minorHAnsi"/>
                <w:sz w:val="18"/>
                <w:szCs w:val="18"/>
              </w:rPr>
              <w:t>reviewed frequently and further actions implemented where necessary</w:t>
            </w:r>
            <w:r w:rsidR="00581E2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52E1D3" w14:textId="77777777" w:rsidR="00053104" w:rsidRDefault="00053104" w:rsidP="00661080">
            <w:pPr>
              <w:jc w:val="both"/>
              <w:rPr>
                <w:rStyle w:val="Hyperlink"/>
              </w:rPr>
            </w:pPr>
          </w:p>
          <w:p w14:paraId="448852E7" w14:textId="6EF69AD5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C2377F">
              <w:rPr>
                <w:rFonts w:cstheme="minorHAnsi"/>
                <w:sz w:val="18"/>
                <w:szCs w:val="18"/>
              </w:rPr>
              <w:t xml:space="preserve">Explore ways of communicating </w:t>
            </w:r>
            <w:hyperlink r:id="rId18" w:history="1">
              <w:r w:rsidRPr="00C2377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c</w:t>
              </w:r>
              <w:r w:rsidRPr="00C2377F">
                <w:rPr>
                  <w:rStyle w:val="Hyperlink"/>
                  <w:rFonts w:cstheme="minorHAnsi"/>
                  <w:sz w:val="18"/>
                  <w:szCs w:val="18"/>
                </w:rPr>
                <w:t xml:space="preserve">ustomer </w:t>
              </w:r>
              <w:r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C2377F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Pr="00C2377F">
              <w:rPr>
                <w:rFonts w:cstheme="minorHAnsi"/>
                <w:sz w:val="18"/>
                <w:szCs w:val="18"/>
              </w:rPr>
              <w:t xml:space="preserve"> to all of our customers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77F">
              <w:rPr>
                <w:rFonts w:cstheme="minorHAnsi"/>
                <w:sz w:val="18"/>
                <w:szCs w:val="18"/>
              </w:rPr>
              <w:t xml:space="preserve">(e.g.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C2377F">
              <w:rPr>
                <w:rFonts w:cstheme="minorHAnsi"/>
                <w:sz w:val="18"/>
                <w:szCs w:val="18"/>
              </w:rPr>
              <w:t>ebsite</w:t>
            </w:r>
            <w:r w:rsidR="00623978">
              <w:rPr>
                <w:rFonts w:cstheme="minorHAnsi"/>
                <w:sz w:val="18"/>
                <w:szCs w:val="18"/>
              </w:rPr>
              <w:t xml:space="preserve"> </w:t>
            </w:r>
            <w:r w:rsidRPr="00C2377F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in-hous</w:t>
            </w:r>
            <w:r w:rsidRPr="00C2377F">
              <w:rPr>
                <w:rFonts w:cstheme="minorHAnsi"/>
                <w:sz w:val="18"/>
                <w:szCs w:val="18"/>
              </w:rPr>
              <w:t>e</w:t>
            </w:r>
            <w:r w:rsidR="00623978">
              <w:rPr>
                <w:rFonts w:cstheme="minorHAnsi"/>
                <w:sz w:val="18"/>
                <w:szCs w:val="18"/>
              </w:rPr>
              <w:t xml:space="preserve"> </w:t>
            </w:r>
            <w:r w:rsidRPr="00C2377F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l</w:t>
            </w:r>
            <w:r w:rsidRPr="00C2377F">
              <w:rPr>
                <w:rFonts w:cstheme="minorHAnsi"/>
                <w:sz w:val="18"/>
                <w:szCs w:val="18"/>
              </w:rPr>
              <w:t xml:space="preserve">ocal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C2377F">
              <w:rPr>
                <w:rFonts w:cstheme="minorHAnsi"/>
                <w:sz w:val="18"/>
                <w:szCs w:val="18"/>
              </w:rPr>
              <w:t>edia</w:t>
            </w:r>
            <w:r>
              <w:rPr>
                <w:rFonts w:cstheme="minorHAnsi"/>
                <w:sz w:val="18"/>
                <w:szCs w:val="18"/>
              </w:rPr>
              <w:t xml:space="preserve"> / email booking confirmation</w:t>
            </w:r>
            <w:r w:rsidRPr="00C2377F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DDD30E" w14:textId="77777777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1AE1D44" w14:textId="059EC2C3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Relevant </w:t>
            </w:r>
            <w:hyperlink r:id="rId19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will be reviewed and further actions implemented where necessary</w:t>
            </w:r>
            <w:r w:rsidR="00623978">
              <w:rPr>
                <w:rFonts w:cstheme="minorHAnsi"/>
                <w:sz w:val="18"/>
                <w:szCs w:val="18"/>
              </w:rPr>
              <w:t>.</w:t>
            </w:r>
          </w:p>
          <w:p w14:paraId="0DC0F12E" w14:textId="77777777" w:rsidR="00581E2C" w:rsidRDefault="00581E2C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FB3807" w14:textId="36A25D2D" w:rsidR="00581E2C" w:rsidRPr="00C2377F" w:rsidRDefault="00581E2C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Consider installation of bike racks to increase active travel to/from the premises</w:t>
            </w:r>
            <w:r w:rsidR="0062397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1080" w:rsidRPr="002A1FA5" w14:paraId="64035EB3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7F2F79E0" w14:textId="680F0264" w:rsidR="00661080" w:rsidRPr="0086159A" w:rsidRDefault="00661080" w:rsidP="00661080">
            <w:pPr>
              <w:rPr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 xml:space="preserve">Working in the </w:t>
            </w:r>
            <w:r>
              <w:rPr>
                <w:rFonts w:cstheme="minorHAnsi"/>
                <w:sz w:val="18"/>
                <w:szCs w:val="18"/>
              </w:rPr>
              <w:t>hotel/bar/restaurant</w:t>
            </w:r>
          </w:p>
        </w:tc>
        <w:tc>
          <w:tcPr>
            <w:tcW w:w="1795" w:type="dxa"/>
            <w:vAlign w:val="center"/>
          </w:tcPr>
          <w:p w14:paraId="5B63768B" w14:textId="5118E36B" w:rsidR="00661080" w:rsidRPr="0086159A" w:rsidRDefault="00661080" w:rsidP="00661080">
            <w:pPr>
              <w:rPr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t>Not maintaining strict hygiene standards leading to spread of coronavirus</w:t>
            </w:r>
          </w:p>
        </w:tc>
        <w:tc>
          <w:tcPr>
            <w:tcW w:w="1372" w:type="dxa"/>
            <w:vAlign w:val="center"/>
          </w:tcPr>
          <w:p w14:paraId="15342D3B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0DB7E902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6372AA85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Guests Residents</w:t>
            </w:r>
          </w:p>
          <w:p w14:paraId="4104A461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6A2304F0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11C78931" w14:textId="7B7E90C2" w:rsidR="00661080" w:rsidRPr="0086159A" w:rsidRDefault="00661080" w:rsidP="006610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6D659" w14:textId="15F05DB9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8B9DAFD" w14:textId="41484D10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D1300C4" w14:textId="0DC123E6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5C99FB75" w14:textId="02C49F38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t>Customers encouraged to use contactless or cashless payments where possible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A50AAAC" w14:textId="77777777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23B042EE" w14:textId="5300D1D0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t>Regular cleaning carried out on all touchpoint systems (</w:t>
            </w:r>
            <w:r>
              <w:rPr>
                <w:rFonts w:cstheme="minorHAnsi"/>
                <w:sz w:val="18"/>
                <w:szCs w:val="18"/>
              </w:rPr>
              <w:t>e.g.</w:t>
            </w:r>
            <w:r w:rsidRPr="0086159A">
              <w:rPr>
                <w:rFonts w:cstheme="minorHAnsi"/>
                <w:sz w:val="18"/>
                <w:szCs w:val="18"/>
              </w:rPr>
              <w:t xml:space="preserve"> tills, tablets</w:t>
            </w:r>
            <w:r w:rsidR="00C475CA">
              <w:rPr>
                <w:rFonts w:cstheme="minorHAnsi"/>
                <w:sz w:val="18"/>
                <w:szCs w:val="18"/>
              </w:rPr>
              <w:t>,</w:t>
            </w:r>
            <w:r w:rsidRPr="0086159A">
              <w:rPr>
                <w:rFonts w:cstheme="minorHAnsi"/>
                <w:sz w:val="18"/>
                <w:szCs w:val="18"/>
              </w:rPr>
              <w:t xml:space="preserve"> etc.)</w:t>
            </w:r>
          </w:p>
          <w:p w14:paraId="40F7A2C9" w14:textId="77777777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3C047203" w14:textId="542D267A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lastRenderedPageBreak/>
              <w:t>Signage installed and tannoy announcements made to remind customers of hygiene standards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6159A">
              <w:rPr>
                <w:rFonts w:cstheme="minorHAnsi"/>
                <w:sz w:val="18"/>
                <w:szCs w:val="18"/>
              </w:rPr>
              <w:t xml:space="preserve"> i.e. handwashing and coughing etiquette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196B6DB" w14:textId="77777777" w:rsidR="00661080" w:rsidRPr="0086159A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20934ACA" w14:textId="6892D30B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t>Hand sanitation facilities installed at entrance/exit points to encourage customers to maintain hygiene standards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B73FA2" w14:textId="0811269C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</w:p>
          <w:p w14:paraId="1502F2B6" w14:textId="75D24FB4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Additional hand sanitising/handwash</w:t>
            </w:r>
            <w:r w:rsidR="0016701A">
              <w:rPr>
                <w:rFonts w:cstheme="minorHAnsi"/>
                <w:sz w:val="18"/>
                <w:szCs w:val="18"/>
              </w:rPr>
              <w:t>ing</w:t>
            </w:r>
            <w:r>
              <w:rPr>
                <w:rFonts w:cstheme="minorHAnsi"/>
                <w:sz w:val="18"/>
                <w:szCs w:val="18"/>
              </w:rPr>
              <w:t xml:space="preserve"> stations installed strategically throughout the premises</w:t>
            </w:r>
            <w:r w:rsidR="0016701A">
              <w:rPr>
                <w:rFonts w:cstheme="minorHAnsi"/>
                <w:sz w:val="18"/>
                <w:szCs w:val="18"/>
              </w:rPr>
              <w:t>.</w:t>
            </w:r>
          </w:p>
          <w:p w14:paraId="1BE3F72F" w14:textId="2A0F309F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Self-service/buffet type services for food </w:t>
            </w:r>
            <w:r w:rsidR="0016701A">
              <w:rPr>
                <w:rFonts w:cstheme="minorHAnsi"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drink are suspended until further notice</w:t>
            </w:r>
            <w:r w:rsidR="0016701A">
              <w:rPr>
                <w:rFonts w:cstheme="minorHAnsi"/>
                <w:sz w:val="18"/>
                <w:szCs w:val="18"/>
              </w:rPr>
              <w:t>.</w:t>
            </w:r>
          </w:p>
          <w:p w14:paraId="2B587DB2" w14:textId="7CDAE42F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</w:p>
          <w:p w14:paraId="587971C9" w14:textId="77777777" w:rsidR="00661080" w:rsidRDefault="00641E34" w:rsidP="0066108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41E34">
              <w:rPr>
                <w:rFonts w:cstheme="minorHAnsi"/>
                <w:color w:val="FF0000"/>
                <w:sz w:val="18"/>
                <w:szCs w:val="18"/>
              </w:rPr>
              <w:t xml:space="preserve">Signage and guest communications </w:t>
            </w:r>
            <w:r>
              <w:rPr>
                <w:rFonts w:cstheme="minorHAnsi"/>
                <w:color w:val="FF0000"/>
                <w:sz w:val="18"/>
                <w:szCs w:val="18"/>
              </w:rPr>
              <w:t>will</w:t>
            </w:r>
            <w:r w:rsidRPr="00641E34">
              <w:rPr>
                <w:rFonts w:cstheme="minorHAnsi"/>
                <w:color w:val="FF0000"/>
                <w:sz w:val="18"/>
                <w:szCs w:val="18"/>
              </w:rPr>
              <w:t xml:space="preserve"> be used to encourage the use of their hotel room bathrooms and toilets wherever possible</w:t>
            </w:r>
          </w:p>
          <w:p w14:paraId="4DD00782" w14:textId="77777777" w:rsidR="00641E34" w:rsidRDefault="00641E34" w:rsidP="0066108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3B18F1F" w14:textId="77777777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  <w:r w:rsidRPr="00641E34">
              <w:rPr>
                <w:rFonts w:cstheme="minorHAnsi"/>
                <w:sz w:val="18"/>
                <w:szCs w:val="18"/>
              </w:rPr>
              <w:t xml:space="preserve">Cleaning regimes for toilet facilities </w:t>
            </w:r>
            <w:r>
              <w:rPr>
                <w:rFonts w:cstheme="minorHAnsi"/>
                <w:sz w:val="18"/>
                <w:szCs w:val="18"/>
              </w:rPr>
              <w:t>will</w:t>
            </w:r>
            <w:r w:rsidRPr="00641E34">
              <w:rPr>
                <w:rFonts w:cstheme="minorHAnsi"/>
                <w:sz w:val="18"/>
                <w:szCs w:val="18"/>
              </w:rPr>
              <w:t xml:space="preserve"> be more frequent than under normal circumstances and using regular cleaning products</w:t>
            </w:r>
            <w:r w:rsidR="0016701A">
              <w:rPr>
                <w:rFonts w:cstheme="minorHAnsi"/>
                <w:sz w:val="18"/>
                <w:szCs w:val="18"/>
              </w:rPr>
              <w:t>.</w:t>
            </w:r>
          </w:p>
          <w:p w14:paraId="1D11256A" w14:textId="5B89E20A" w:rsidR="0016701A" w:rsidRPr="0086159A" w:rsidRDefault="0016701A" w:rsidP="006610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D50E8D" w14:textId="77777777" w:rsidR="00661080" w:rsidRPr="0086159A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9C1628" w14:textId="4952FEAA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ADBB2" w14:textId="77777777" w:rsidR="00661080" w:rsidRPr="0086159A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16BBF4E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86159A">
              <w:rPr>
                <w:rFonts w:cstheme="minorHAnsi"/>
                <w:sz w:val="18"/>
                <w:szCs w:val="18"/>
              </w:rPr>
              <w:t>Alternatives to contact pads for tills to be considered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CDFE507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48DB1057" w14:textId="112852E5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Relevant </w:t>
            </w:r>
            <w:hyperlink r:id="rId20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will be reviewed and further actions implemented where necessary</w:t>
            </w:r>
            <w:r w:rsidR="00C475CA">
              <w:rPr>
                <w:rFonts w:cstheme="minorHAnsi"/>
                <w:sz w:val="18"/>
                <w:szCs w:val="18"/>
              </w:rPr>
              <w:t>.</w:t>
            </w:r>
          </w:p>
          <w:p w14:paraId="2A2F2C47" w14:textId="77777777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</w:p>
          <w:p w14:paraId="5083AD33" w14:textId="23C906D3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Consider options for pre-packed goods for over-counter sale</w:t>
            </w:r>
            <w:r w:rsidR="0016701A">
              <w:rPr>
                <w:rFonts w:cstheme="minorHAnsi"/>
                <w:sz w:val="18"/>
                <w:szCs w:val="18"/>
              </w:rPr>
              <w:t>.</w:t>
            </w:r>
          </w:p>
          <w:p w14:paraId="7FA128B1" w14:textId="77777777" w:rsidR="00641E34" w:rsidRDefault="00641E34" w:rsidP="00661080">
            <w:pPr>
              <w:rPr>
                <w:rFonts w:cstheme="minorHAnsi"/>
                <w:sz w:val="18"/>
                <w:szCs w:val="18"/>
              </w:rPr>
            </w:pPr>
          </w:p>
          <w:p w14:paraId="2F9AE301" w14:textId="721795EE" w:rsidR="00641E34" w:rsidRPr="0086159A" w:rsidRDefault="00641E34" w:rsidP="00661080">
            <w:pPr>
              <w:rPr>
                <w:sz w:val="18"/>
                <w:szCs w:val="18"/>
              </w:rPr>
            </w:pPr>
            <w:r w:rsidRPr="00641E34">
              <w:rPr>
                <w:rFonts w:cstheme="minorHAnsi"/>
                <w:color w:val="FF0000"/>
                <w:sz w:val="18"/>
                <w:szCs w:val="18"/>
              </w:rPr>
              <w:t xml:space="preserve">Urinals to be closed or consider screens between urinals in male toilets and/or </w:t>
            </w:r>
            <w:proofErr w:type="gramStart"/>
            <w:r w:rsidRPr="00641E34">
              <w:rPr>
                <w:rFonts w:cstheme="minorHAnsi"/>
                <w:color w:val="FF0000"/>
                <w:sz w:val="18"/>
                <w:szCs w:val="18"/>
              </w:rPr>
              <w:t>sufficient</w:t>
            </w:r>
            <w:proofErr w:type="gramEnd"/>
            <w:r w:rsidRPr="00641E34">
              <w:rPr>
                <w:rFonts w:cstheme="minorHAnsi"/>
                <w:color w:val="FF0000"/>
                <w:sz w:val="18"/>
                <w:szCs w:val="18"/>
              </w:rPr>
              <w:t xml:space="preserve"> space between them</w:t>
            </w:r>
            <w:r w:rsidR="0016701A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</w:tc>
      </w:tr>
      <w:tr w:rsidR="00661080" w:rsidRPr="002A1FA5" w14:paraId="01285B63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3115646A" w14:textId="17FA3237" w:rsidR="00661080" w:rsidRPr="003C73E6" w:rsidRDefault="00661080" w:rsidP="00661080">
            <w:pPr>
              <w:rPr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lastRenderedPageBreak/>
              <w:t xml:space="preserve">Cleaning the </w:t>
            </w:r>
            <w:r>
              <w:rPr>
                <w:rFonts w:cstheme="minorHAnsi"/>
                <w:sz w:val="18"/>
                <w:szCs w:val="18"/>
              </w:rPr>
              <w:t>hotel/bar/restaurant</w:t>
            </w:r>
          </w:p>
        </w:tc>
        <w:tc>
          <w:tcPr>
            <w:tcW w:w="1795" w:type="dxa"/>
            <w:vAlign w:val="center"/>
          </w:tcPr>
          <w:p w14:paraId="261CF78B" w14:textId="77777777" w:rsidR="00661080" w:rsidRPr="003C73E6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Poor cleanliness leading to spread of coronavirus</w:t>
            </w:r>
          </w:p>
          <w:p w14:paraId="40515302" w14:textId="77777777" w:rsidR="00661080" w:rsidRPr="003C73E6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1CBA00EA" w14:textId="0AEA4BF5" w:rsidR="00661080" w:rsidRPr="003C73E6" w:rsidRDefault="00661080" w:rsidP="00661080">
            <w:pPr>
              <w:rPr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Cleaning process leading to cross-contamination</w:t>
            </w:r>
          </w:p>
        </w:tc>
        <w:tc>
          <w:tcPr>
            <w:tcW w:w="1372" w:type="dxa"/>
            <w:vAlign w:val="center"/>
          </w:tcPr>
          <w:p w14:paraId="22ABBC37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Employees</w:t>
            </w:r>
          </w:p>
          <w:p w14:paraId="316045D9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Customers</w:t>
            </w:r>
          </w:p>
          <w:p w14:paraId="556474B1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Guests Residents</w:t>
            </w:r>
          </w:p>
          <w:p w14:paraId="09DD827F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Contractors</w:t>
            </w:r>
          </w:p>
          <w:p w14:paraId="11E3ED99" w14:textId="77777777" w:rsidR="00661080" w:rsidRPr="00971EE1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971EE1">
              <w:rPr>
                <w:rFonts w:cstheme="minorHAnsi"/>
                <w:sz w:val="18"/>
                <w:szCs w:val="18"/>
              </w:rPr>
              <w:t>Visitors</w:t>
            </w:r>
          </w:p>
          <w:p w14:paraId="26C1D2A6" w14:textId="582A48A6" w:rsidR="00661080" w:rsidRPr="003C73E6" w:rsidRDefault="00661080" w:rsidP="0066108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AE246" w14:textId="10B68667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0878B92" w14:textId="454ED6BD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B02287F" w14:textId="7C90E8C6" w:rsidR="00661080" w:rsidRPr="004636CC" w:rsidRDefault="00661080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650CB481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 xml:space="preserve">Work areas, staff rooms, canteens and equipment should be cleaned frequently between uses. </w:t>
            </w:r>
          </w:p>
          <w:p w14:paraId="337597CC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14D4C45" w14:textId="7FA1A7BC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A cleaning schedule should be designed, and staff trained to implement the schedule (see Ellis Whittam’s Daily Cleaning Checklist).</w:t>
            </w:r>
          </w:p>
          <w:p w14:paraId="4D73C0C4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CB706E7" w14:textId="6FF3B753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Frequent touch points identified and disinfected regularly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C73E6">
              <w:rPr>
                <w:rFonts w:cstheme="minorHAnsi"/>
                <w:sz w:val="18"/>
                <w:szCs w:val="18"/>
              </w:rPr>
              <w:t xml:space="preserve"> including all objects and surfaces that are touched regularly such as self-service checkouts, trolleys, coffee machines, or staff handheld devices.</w:t>
            </w:r>
          </w:p>
          <w:p w14:paraId="4490B4BE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E72BB5B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Adequate disposal arrangements are made available for any additional waste created.</w:t>
            </w:r>
          </w:p>
          <w:p w14:paraId="128A8633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4B1AFB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 xml:space="preserve">Workspaces are to be kept clear and all waste frequently removed. </w:t>
            </w:r>
          </w:p>
          <w:p w14:paraId="475701D3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FEDD20B" w14:textId="25955F59" w:rsidR="00661080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 xml:space="preserve">All personal belongings must be removed from work areas at the end of a shift, </w:t>
            </w:r>
            <w:r>
              <w:rPr>
                <w:rFonts w:cstheme="minorHAnsi"/>
                <w:sz w:val="18"/>
                <w:szCs w:val="18"/>
              </w:rPr>
              <w:t>e.g</w:t>
            </w:r>
            <w:r w:rsidRPr="003C73E6">
              <w:rPr>
                <w:rFonts w:cstheme="minorHAnsi"/>
                <w:sz w:val="18"/>
                <w:szCs w:val="18"/>
              </w:rPr>
              <w:t>. water bottles, mugs, station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3C73E6">
              <w:rPr>
                <w:rFonts w:cstheme="minorHAnsi"/>
                <w:sz w:val="18"/>
                <w:szCs w:val="18"/>
              </w:rPr>
              <w:t>ry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3C73E6">
              <w:rPr>
                <w:rFonts w:cstheme="minorHAnsi"/>
                <w:sz w:val="18"/>
                <w:szCs w:val="18"/>
              </w:rPr>
              <w:t>etc.</w:t>
            </w:r>
          </w:p>
          <w:p w14:paraId="6E77AE39" w14:textId="77777777" w:rsidR="00661080" w:rsidRPr="003C73E6" w:rsidRDefault="00661080" w:rsidP="00661080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2A54AE7" w14:textId="0063B932" w:rsidR="00661080" w:rsidRDefault="00661080" w:rsidP="0066108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C73E6">
              <w:rPr>
                <w:rFonts w:cstheme="minorHAnsi"/>
                <w:color w:val="FF0000"/>
                <w:sz w:val="18"/>
                <w:szCs w:val="18"/>
              </w:rPr>
              <w:t>Customer toilet cleaning procedures in place and a rota maintained</w:t>
            </w:r>
            <w:r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0CD85C6B" w14:textId="73CCCB6F" w:rsidR="00661080" w:rsidRPr="003C73E6" w:rsidRDefault="00661080" w:rsidP="0066108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5E24E6" w14:textId="2021F64B" w:rsidR="00661080" w:rsidRPr="003C73E6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BA75F4" w14:textId="10009661" w:rsidR="00661080" w:rsidRPr="004636CC" w:rsidRDefault="00661080" w:rsidP="00661080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BE8C8" w14:textId="77777777" w:rsidR="00661080" w:rsidRPr="003C73E6" w:rsidRDefault="00661080" w:rsidP="006610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1F8401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  <w:r w:rsidRPr="003C73E6">
              <w:rPr>
                <w:rFonts w:cstheme="minorHAnsi"/>
                <w:sz w:val="18"/>
                <w:szCs w:val="18"/>
              </w:rPr>
              <w:t>Consider provision of additional waste facilities and more frequent rubbish collection.</w:t>
            </w:r>
          </w:p>
          <w:p w14:paraId="0C4B3437" w14:textId="77777777" w:rsidR="00661080" w:rsidRDefault="00661080" w:rsidP="00661080">
            <w:pPr>
              <w:rPr>
                <w:rFonts w:cstheme="minorHAnsi"/>
                <w:sz w:val="18"/>
                <w:szCs w:val="18"/>
              </w:rPr>
            </w:pPr>
          </w:p>
          <w:p w14:paraId="2C2E2403" w14:textId="2C841FE6" w:rsidR="00661080" w:rsidRPr="003C73E6" w:rsidRDefault="00661080" w:rsidP="0066108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Relevant </w:t>
            </w:r>
            <w:hyperlink r:id="rId21" w:history="1">
              <w:r w:rsidRPr="009F3913">
                <w:rPr>
                  <w:rStyle w:val="Hyperlink"/>
                  <w:rFonts w:cstheme="minorHAnsi"/>
                  <w:sz w:val="18"/>
                  <w:szCs w:val="18"/>
                </w:rPr>
                <w:t>industry guidance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will be reviewed and further actions implemented where necessary</w:t>
            </w:r>
            <w:r w:rsidR="00A36A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E1804" w:rsidRPr="002F2A80" w14:paraId="03B09529" w14:textId="77777777" w:rsidTr="00900087">
        <w:trPr>
          <w:trHeight w:val="698"/>
        </w:trPr>
        <w:tc>
          <w:tcPr>
            <w:tcW w:w="988" w:type="dxa"/>
            <w:vAlign w:val="center"/>
          </w:tcPr>
          <w:p w14:paraId="00EBAEBB" w14:textId="629822E8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Maintaining </w:t>
            </w:r>
            <w:r w:rsidR="00864982">
              <w:rPr>
                <w:rFonts w:cstheme="minorHAnsi"/>
                <w:sz w:val="18"/>
                <w:szCs w:val="18"/>
              </w:rPr>
              <w:t>employee health and wellbeing</w:t>
            </w:r>
          </w:p>
        </w:tc>
        <w:tc>
          <w:tcPr>
            <w:tcW w:w="1795" w:type="dxa"/>
            <w:vAlign w:val="center"/>
          </w:tcPr>
          <w:p w14:paraId="5EC42075" w14:textId="01800BE8" w:rsidR="009E1804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Poor health leading to illness</w:t>
            </w:r>
          </w:p>
          <w:p w14:paraId="28556CCB" w14:textId="77777777" w:rsidR="00864982" w:rsidRPr="00864982" w:rsidRDefault="00864982" w:rsidP="009E1804">
            <w:pPr>
              <w:rPr>
                <w:rFonts w:cstheme="minorHAnsi"/>
                <w:sz w:val="18"/>
                <w:szCs w:val="18"/>
              </w:rPr>
            </w:pPr>
          </w:p>
          <w:p w14:paraId="110D07BB" w14:textId="741EDAFD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7703EB2A" w14:textId="1849A7DD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Employees</w:t>
            </w:r>
          </w:p>
        </w:tc>
        <w:tc>
          <w:tcPr>
            <w:tcW w:w="709" w:type="dxa"/>
            <w:vAlign w:val="center"/>
          </w:tcPr>
          <w:p w14:paraId="6C61A849" w14:textId="00D75AF0" w:rsidR="009E1804" w:rsidRPr="004636CC" w:rsidRDefault="009E1804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7981E670" w14:textId="60C8626E" w:rsidR="009E1804" w:rsidRPr="004636CC" w:rsidRDefault="009E1804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854" w:type="dxa"/>
            <w:vAlign w:val="center"/>
          </w:tcPr>
          <w:p w14:paraId="07724283" w14:textId="02750D7A" w:rsidR="009E1804" w:rsidRPr="004636CC" w:rsidRDefault="009E1804" w:rsidP="00053104">
            <w:pPr>
              <w:jc w:val="center"/>
              <w:rPr>
                <w:rFonts w:cstheme="minorHAnsi"/>
                <w:szCs w:val="18"/>
              </w:rPr>
            </w:pPr>
            <w:r w:rsidRPr="004636C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61977F63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Communication and training materials will be provided for employees prior to returning to site, especially around new procedures for arrival at work.</w:t>
            </w:r>
          </w:p>
          <w:p w14:paraId="0BFEE191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C204108" w14:textId="703B7359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Employees living in vulnerable or shielded households only expected to return when new safe working environment measures have been fully tested and a return to onsite work is consistent with individual medical advice</w:t>
            </w:r>
            <w:r w:rsidR="00864982">
              <w:rPr>
                <w:rFonts w:cstheme="minorHAnsi"/>
                <w:sz w:val="18"/>
                <w:szCs w:val="18"/>
              </w:rPr>
              <w:t>.</w:t>
            </w:r>
          </w:p>
          <w:p w14:paraId="0C6BA315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A71D5F2" w14:textId="407D31F0" w:rsidR="00864982" w:rsidRPr="00864982" w:rsidRDefault="009E1804" w:rsidP="009E1804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Extremely </w:t>
            </w:r>
            <w:r w:rsidR="00864982">
              <w:rPr>
                <w:rFonts w:cstheme="minorHAnsi"/>
                <w:sz w:val="18"/>
                <w:szCs w:val="18"/>
              </w:rPr>
              <w:t>c</w:t>
            </w:r>
            <w:r w:rsidRPr="00864982">
              <w:rPr>
                <w:rFonts w:cstheme="minorHAnsi"/>
                <w:sz w:val="18"/>
                <w:szCs w:val="18"/>
              </w:rPr>
              <w:t xml:space="preserve">linically </w:t>
            </w:r>
            <w:r w:rsidR="00864982">
              <w:rPr>
                <w:rFonts w:cstheme="minorHAnsi"/>
                <w:sz w:val="18"/>
                <w:szCs w:val="18"/>
              </w:rPr>
              <w:t>v</w:t>
            </w:r>
            <w:r w:rsidRPr="00864982">
              <w:rPr>
                <w:rFonts w:cstheme="minorHAnsi"/>
                <w:sz w:val="18"/>
                <w:szCs w:val="18"/>
              </w:rPr>
              <w:t xml:space="preserve">ulnerable </w:t>
            </w:r>
            <w:r w:rsidR="00864982">
              <w:rPr>
                <w:rFonts w:cstheme="minorHAnsi"/>
                <w:sz w:val="18"/>
                <w:szCs w:val="18"/>
              </w:rPr>
              <w:t>p</w:t>
            </w:r>
            <w:r w:rsidRPr="00864982">
              <w:rPr>
                <w:rFonts w:cstheme="minorHAnsi"/>
                <w:sz w:val="18"/>
                <w:szCs w:val="18"/>
              </w:rPr>
              <w:t xml:space="preserve">eople to follow the relevant </w:t>
            </w:r>
            <w:hyperlink r:id="rId22" w:history="1">
              <w:r w:rsidRPr="00864982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 w:rsidR="00864982">
              <w:rPr>
                <w:rFonts w:cstheme="minorHAnsi"/>
                <w:sz w:val="18"/>
                <w:szCs w:val="18"/>
              </w:rPr>
              <w:t>.</w:t>
            </w:r>
          </w:p>
          <w:p w14:paraId="1CB50692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C9E248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Clinically vulnerable are helped to work from home, either in their current role or in an alternative role. </w:t>
            </w:r>
          </w:p>
          <w:p w14:paraId="46FADCCA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0F51C28" w14:textId="6B2EED44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Clinically vulnerable (but not extremely clinically vulnerable) individuals </w:t>
            </w:r>
            <w:r w:rsidR="00864982">
              <w:rPr>
                <w:rFonts w:cstheme="minorHAnsi"/>
                <w:sz w:val="18"/>
                <w:szCs w:val="18"/>
              </w:rPr>
              <w:t xml:space="preserve">who </w:t>
            </w:r>
            <w:r w:rsidRPr="00864982">
              <w:rPr>
                <w:rFonts w:cstheme="minorHAnsi"/>
                <w:sz w:val="18"/>
                <w:szCs w:val="18"/>
              </w:rPr>
              <w:t>cannot work from home</w:t>
            </w:r>
            <w:r w:rsidR="00864982">
              <w:rPr>
                <w:rFonts w:cstheme="minorHAnsi"/>
                <w:sz w:val="18"/>
                <w:szCs w:val="18"/>
              </w:rPr>
              <w:t xml:space="preserve"> </w:t>
            </w:r>
            <w:r w:rsidRPr="00864982">
              <w:rPr>
                <w:rFonts w:cstheme="minorHAnsi"/>
                <w:sz w:val="18"/>
                <w:szCs w:val="18"/>
              </w:rPr>
              <w:t>are offered the option of the safest available on-site roles, enabling them to stay</w:t>
            </w:r>
            <w:r w:rsidR="00864982">
              <w:rPr>
                <w:rFonts w:cstheme="minorHAnsi"/>
                <w:sz w:val="18"/>
                <w:szCs w:val="18"/>
              </w:rPr>
              <w:t xml:space="preserve"> two metres </w:t>
            </w:r>
            <w:r w:rsidRPr="00864982">
              <w:rPr>
                <w:rFonts w:cstheme="minorHAnsi"/>
                <w:sz w:val="18"/>
                <w:szCs w:val="18"/>
              </w:rPr>
              <w:t xml:space="preserve">away from others. </w:t>
            </w:r>
          </w:p>
          <w:p w14:paraId="7645FE26" w14:textId="77777777" w:rsidR="009E1804" w:rsidRPr="00864982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33ECEA" w14:textId="4D9EE3B9" w:rsidR="009E1804" w:rsidRDefault="009E1804" w:rsidP="009E1804">
            <w:pPr>
              <w:jc w:val="both"/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Employees encouraged to access mental health </w:t>
            </w:r>
            <w:r w:rsidR="00864982">
              <w:rPr>
                <w:rFonts w:cstheme="minorHAnsi"/>
                <w:sz w:val="18"/>
                <w:szCs w:val="18"/>
              </w:rPr>
              <w:t>and</w:t>
            </w:r>
            <w:r w:rsidRPr="00864982">
              <w:rPr>
                <w:rFonts w:cstheme="minorHAnsi"/>
                <w:sz w:val="18"/>
                <w:szCs w:val="18"/>
              </w:rPr>
              <w:t xml:space="preserve"> wellbeing support through employer and/or from </w:t>
            </w:r>
            <w:hyperlink r:id="rId23" w:history="1">
              <w:r w:rsidRPr="00864982">
                <w:rPr>
                  <w:rStyle w:val="Hyperlink"/>
                  <w:rFonts w:cstheme="minorHAnsi"/>
                  <w:sz w:val="18"/>
                  <w:szCs w:val="18"/>
                </w:rPr>
                <w:t>NHS Inform</w:t>
              </w:r>
            </w:hyperlink>
            <w:r w:rsidRPr="00864982">
              <w:rPr>
                <w:rFonts w:cstheme="minorHAnsi"/>
                <w:sz w:val="18"/>
                <w:szCs w:val="18"/>
              </w:rPr>
              <w:t>, </w:t>
            </w:r>
            <w:hyperlink r:id="rId24" w:history="1">
              <w:r w:rsidRPr="00864982">
                <w:rPr>
                  <w:rStyle w:val="Hyperlink"/>
                  <w:rFonts w:cstheme="minorHAnsi"/>
                  <w:sz w:val="18"/>
                  <w:szCs w:val="18"/>
                </w:rPr>
                <w:t>Breathing Space</w:t>
              </w:r>
            </w:hyperlink>
            <w:r w:rsidRPr="00864982">
              <w:rPr>
                <w:rFonts w:cstheme="minorHAnsi"/>
                <w:sz w:val="18"/>
                <w:szCs w:val="18"/>
              </w:rPr>
              <w:t>, the </w:t>
            </w:r>
            <w:hyperlink r:id="rId25" w:history="1">
              <w:r w:rsidRPr="00864982">
                <w:rPr>
                  <w:rStyle w:val="Hyperlink"/>
                  <w:rFonts w:cstheme="minorHAnsi"/>
                  <w:sz w:val="18"/>
                  <w:szCs w:val="18"/>
                </w:rPr>
                <w:t>Scottish Association for Mental Health</w:t>
              </w:r>
            </w:hyperlink>
            <w:r w:rsidRPr="00864982">
              <w:rPr>
                <w:rFonts w:cstheme="minorHAnsi"/>
                <w:sz w:val="18"/>
                <w:szCs w:val="18"/>
              </w:rPr>
              <w:t> and </w:t>
            </w:r>
            <w:hyperlink r:id="rId26" w:history="1">
              <w:r w:rsidRPr="00864982">
                <w:rPr>
                  <w:rStyle w:val="Hyperlink"/>
                  <w:rFonts w:cstheme="minorHAnsi"/>
                  <w:sz w:val="18"/>
                  <w:szCs w:val="18"/>
                </w:rPr>
                <w:t>Samaritans Scotland</w:t>
              </w:r>
            </w:hyperlink>
            <w:r w:rsidR="00864982">
              <w:rPr>
                <w:rFonts w:cstheme="minorHAnsi"/>
                <w:sz w:val="18"/>
                <w:szCs w:val="18"/>
              </w:rPr>
              <w:t>.</w:t>
            </w:r>
            <w:r w:rsidRPr="0086498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39315A8" w14:textId="77777777" w:rsidR="00900087" w:rsidRPr="00864982" w:rsidRDefault="00900087" w:rsidP="009E180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6F796E6" w14:textId="56F5A3CC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 xml:space="preserve">Employees encouraged to travel to work through other methods away from public transport (where possible) e.g. cycling, </w:t>
            </w:r>
            <w:r w:rsidR="007A3ACB">
              <w:rPr>
                <w:rFonts w:cstheme="minorHAnsi"/>
                <w:sz w:val="18"/>
                <w:szCs w:val="18"/>
              </w:rPr>
              <w:t xml:space="preserve">using </w:t>
            </w:r>
            <w:r w:rsidRPr="00864982">
              <w:rPr>
                <w:rFonts w:cstheme="minorHAnsi"/>
                <w:sz w:val="18"/>
                <w:szCs w:val="18"/>
              </w:rPr>
              <w:t>their own car, family member drop-off</w:t>
            </w:r>
            <w:r w:rsidR="007A3ACB">
              <w:rPr>
                <w:rFonts w:cstheme="minorHAnsi"/>
                <w:sz w:val="18"/>
                <w:szCs w:val="18"/>
              </w:rPr>
              <w:t xml:space="preserve">, </w:t>
            </w:r>
            <w:r w:rsidRPr="00864982">
              <w:rPr>
                <w:rFonts w:cstheme="minorHAnsi"/>
                <w:sz w:val="18"/>
                <w:szCs w:val="18"/>
              </w:rPr>
              <w:t>etc.</w:t>
            </w:r>
          </w:p>
        </w:tc>
        <w:tc>
          <w:tcPr>
            <w:tcW w:w="708" w:type="dxa"/>
          </w:tcPr>
          <w:p w14:paraId="2364DD68" w14:textId="77777777" w:rsidR="009E1804" w:rsidRPr="00864982" w:rsidRDefault="009E1804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E08EBD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BADF9E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A0CB38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F3ACBF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36C612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45B216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8EDF62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05088C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182171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0BBB06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ABF1AE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FD9A04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D7002D" w14:textId="77777777" w:rsidR="00F27C1E" w:rsidRDefault="00F27C1E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8EAF2D" w14:textId="622E9FFA" w:rsidR="009E1804" w:rsidRPr="00864982" w:rsidRDefault="009E1804" w:rsidP="00F27C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36CC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</w:tcPr>
          <w:p w14:paraId="4FE34DBA" w14:textId="77777777" w:rsidR="009E1804" w:rsidRPr="00864982" w:rsidRDefault="009E1804" w:rsidP="009E18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545D9B" w14:textId="45F119C5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  <w:r w:rsidRPr="00864982">
              <w:rPr>
                <w:rFonts w:cstheme="minorHAnsi"/>
                <w:sz w:val="18"/>
                <w:szCs w:val="18"/>
              </w:rPr>
              <w:t>Explore options for employees living in vulnerable or shielded households to work from home</w:t>
            </w:r>
            <w:r w:rsidR="00864982">
              <w:rPr>
                <w:rFonts w:cstheme="minorHAnsi"/>
                <w:sz w:val="18"/>
                <w:szCs w:val="18"/>
              </w:rPr>
              <w:t>.</w:t>
            </w:r>
          </w:p>
          <w:p w14:paraId="3097BBF5" w14:textId="77777777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</w:p>
          <w:p w14:paraId="5E29C67D" w14:textId="77777777" w:rsidR="009E1804" w:rsidRPr="00864982" w:rsidRDefault="009E1804" w:rsidP="009E18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E7002D" w14:textId="5C9F4BE2" w:rsidR="00171FEE" w:rsidRDefault="00B44793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textWrapping" w:clear="all"/>
      </w: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  <w:tr w:rsidR="00015019" w:rsidRPr="00FB641D" w14:paraId="6F5151C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DD1B" w14:textId="77777777" w:rsidR="00015019" w:rsidRPr="00CB5F0E" w:rsidRDefault="0001501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1240" w14:textId="77777777" w:rsidR="00015019" w:rsidRPr="00CB5F0E" w:rsidRDefault="0001501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BC8F8FE" w14:textId="77777777" w:rsidR="00015019" w:rsidRPr="00CB5F0E" w:rsidRDefault="0001501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28050DA7" w14:textId="77777777" w:rsidR="00015019" w:rsidRPr="00CB5F0E" w:rsidRDefault="0001501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4E9904A" w14:textId="77777777" w:rsidR="00015019" w:rsidRPr="00CB5F0E" w:rsidRDefault="00015019" w:rsidP="00503709">
            <w:pPr>
              <w:jc w:val="center"/>
              <w:rPr>
                <w:rFonts w:eastAsia="Calibri" w:cstheme="minorHAnsi"/>
              </w:rPr>
            </w:pPr>
          </w:p>
        </w:tc>
      </w:tr>
    </w:tbl>
    <w:p w14:paraId="09498152" w14:textId="77777777" w:rsidR="00102250" w:rsidRDefault="00102250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BD6ABB">
        <w:tc>
          <w:tcPr>
            <w:tcW w:w="15614" w:type="dxa"/>
            <w:shd w:val="clear" w:color="auto" w:fill="1F497D" w:themeFill="text2"/>
          </w:tcPr>
          <w:p w14:paraId="5F4FE028" w14:textId="7EEDF128" w:rsidR="00255E68" w:rsidRPr="006D3801" w:rsidRDefault="00E26168" w:rsidP="00581E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61218757" w:rsidR="00E26168" w:rsidRPr="004636CC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4636CC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4636CC" w:rsidRDefault="00E26168" w:rsidP="00E26168">
      <w:pPr>
        <w:spacing w:after="0" w:line="240" w:lineRule="auto"/>
        <w:ind w:left="864" w:right="864"/>
        <w:jc w:val="both"/>
        <w:rPr>
          <w:rFonts w:eastAsia="Times New Roman" w:cstheme="minorHAnsi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4636CC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4636C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4636CC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4636C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4636CC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4636CC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4636CC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5D5F" w14:textId="77777777" w:rsidR="00671DBD" w:rsidRDefault="00671DBD" w:rsidP="006D3801">
      <w:pPr>
        <w:spacing w:after="0" w:line="240" w:lineRule="auto"/>
      </w:pPr>
      <w:r>
        <w:separator/>
      </w:r>
    </w:p>
  </w:endnote>
  <w:endnote w:type="continuationSeparator" w:id="0">
    <w:p w14:paraId="7A553FC7" w14:textId="77777777" w:rsidR="00671DBD" w:rsidRDefault="00671DBD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581E2C" w:rsidRDefault="00581E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581E2C" w:rsidRDefault="00581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CF54" w14:textId="77777777" w:rsidR="00671DBD" w:rsidRDefault="00671DBD" w:rsidP="006D3801">
      <w:pPr>
        <w:spacing w:after="0" w:line="240" w:lineRule="auto"/>
      </w:pPr>
      <w:r>
        <w:separator/>
      </w:r>
    </w:p>
  </w:footnote>
  <w:footnote w:type="continuationSeparator" w:id="0">
    <w:p w14:paraId="0FF16D6E" w14:textId="77777777" w:rsidR="00671DBD" w:rsidRDefault="00671DBD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2B531605" w:rsidR="00581E2C" w:rsidRPr="00BD6ABB" w:rsidRDefault="00581E2C" w:rsidP="00827398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671DBD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8"/>
  </w:num>
  <w:num w:numId="5">
    <w:abstractNumId w:val="14"/>
  </w:num>
  <w:num w:numId="6">
    <w:abstractNumId w:val="26"/>
  </w:num>
  <w:num w:numId="7">
    <w:abstractNumId w:val="3"/>
  </w:num>
  <w:num w:numId="8">
    <w:abstractNumId w:val="11"/>
  </w:num>
  <w:num w:numId="9">
    <w:abstractNumId w:val="7"/>
  </w:num>
  <w:num w:numId="10">
    <w:abstractNumId w:val="16"/>
  </w:num>
  <w:num w:numId="11">
    <w:abstractNumId w:val="20"/>
  </w:num>
  <w:num w:numId="12">
    <w:abstractNumId w:val="6"/>
  </w:num>
  <w:num w:numId="13">
    <w:abstractNumId w:val="12"/>
  </w:num>
  <w:num w:numId="14">
    <w:abstractNumId w:val="19"/>
  </w:num>
  <w:num w:numId="15">
    <w:abstractNumId w:val="23"/>
  </w:num>
  <w:num w:numId="16">
    <w:abstractNumId w:val="9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8"/>
  </w:num>
  <w:num w:numId="22">
    <w:abstractNumId w:val="18"/>
  </w:num>
  <w:num w:numId="23">
    <w:abstractNumId w:val="21"/>
  </w:num>
  <w:num w:numId="24">
    <w:abstractNumId w:val="2"/>
  </w:num>
  <w:num w:numId="25">
    <w:abstractNumId w:val="27"/>
  </w:num>
  <w:num w:numId="26">
    <w:abstractNumId w:val="15"/>
  </w:num>
  <w:num w:numId="27">
    <w:abstractNumId w:val="13"/>
  </w:num>
  <w:num w:numId="28">
    <w:abstractNumId w:val="24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15019"/>
    <w:rsid w:val="000279A7"/>
    <w:rsid w:val="00053104"/>
    <w:rsid w:val="00054A0E"/>
    <w:rsid w:val="000653BF"/>
    <w:rsid w:val="0007656A"/>
    <w:rsid w:val="000A3420"/>
    <w:rsid w:val="000B3E2C"/>
    <w:rsid w:val="000B56CE"/>
    <w:rsid w:val="000B79BB"/>
    <w:rsid w:val="000C3400"/>
    <w:rsid w:val="00102250"/>
    <w:rsid w:val="00110632"/>
    <w:rsid w:val="0012785D"/>
    <w:rsid w:val="00127F92"/>
    <w:rsid w:val="0016701A"/>
    <w:rsid w:val="00171FEE"/>
    <w:rsid w:val="001769F8"/>
    <w:rsid w:val="001772FA"/>
    <w:rsid w:val="00185693"/>
    <w:rsid w:val="001860B8"/>
    <w:rsid w:val="0018729C"/>
    <w:rsid w:val="00196EE6"/>
    <w:rsid w:val="001A0EEB"/>
    <w:rsid w:val="001A1785"/>
    <w:rsid w:val="001E633E"/>
    <w:rsid w:val="001F2E02"/>
    <w:rsid w:val="00244223"/>
    <w:rsid w:val="00255E68"/>
    <w:rsid w:val="00266430"/>
    <w:rsid w:val="002A1FA5"/>
    <w:rsid w:val="002A65FB"/>
    <w:rsid w:val="002D0AD2"/>
    <w:rsid w:val="002F2A80"/>
    <w:rsid w:val="00302A2E"/>
    <w:rsid w:val="003319DD"/>
    <w:rsid w:val="00347445"/>
    <w:rsid w:val="003545AB"/>
    <w:rsid w:val="003C123B"/>
    <w:rsid w:val="003C73E6"/>
    <w:rsid w:val="003D4AF9"/>
    <w:rsid w:val="003E216F"/>
    <w:rsid w:val="0040355A"/>
    <w:rsid w:val="00426DE2"/>
    <w:rsid w:val="00440002"/>
    <w:rsid w:val="00462D1E"/>
    <w:rsid w:val="004636CC"/>
    <w:rsid w:val="00466126"/>
    <w:rsid w:val="004700F4"/>
    <w:rsid w:val="004728A3"/>
    <w:rsid w:val="00476CAD"/>
    <w:rsid w:val="004D717D"/>
    <w:rsid w:val="004D7F27"/>
    <w:rsid w:val="004F38D1"/>
    <w:rsid w:val="004F62A7"/>
    <w:rsid w:val="00503709"/>
    <w:rsid w:val="00516931"/>
    <w:rsid w:val="00531B7F"/>
    <w:rsid w:val="00553D7E"/>
    <w:rsid w:val="00574820"/>
    <w:rsid w:val="00581E2C"/>
    <w:rsid w:val="005B0970"/>
    <w:rsid w:val="005B68F2"/>
    <w:rsid w:val="005C58B6"/>
    <w:rsid w:val="005C62C4"/>
    <w:rsid w:val="005C644A"/>
    <w:rsid w:val="005D658A"/>
    <w:rsid w:val="005D78BA"/>
    <w:rsid w:val="006003AD"/>
    <w:rsid w:val="0060698C"/>
    <w:rsid w:val="00611F79"/>
    <w:rsid w:val="00623978"/>
    <w:rsid w:val="00641E34"/>
    <w:rsid w:val="00661080"/>
    <w:rsid w:val="00663430"/>
    <w:rsid w:val="00666024"/>
    <w:rsid w:val="00671DBD"/>
    <w:rsid w:val="00697935"/>
    <w:rsid w:val="006D3801"/>
    <w:rsid w:val="006F2D88"/>
    <w:rsid w:val="00704B58"/>
    <w:rsid w:val="0071008E"/>
    <w:rsid w:val="00737902"/>
    <w:rsid w:val="007A3ACB"/>
    <w:rsid w:val="007D36AC"/>
    <w:rsid w:val="007E02BE"/>
    <w:rsid w:val="007E08A2"/>
    <w:rsid w:val="007F4870"/>
    <w:rsid w:val="00817D21"/>
    <w:rsid w:val="008202A2"/>
    <w:rsid w:val="0082217B"/>
    <w:rsid w:val="00827398"/>
    <w:rsid w:val="00860640"/>
    <w:rsid w:val="0086159A"/>
    <w:rsid w:val="00864982"/>
    <w:rsid w:val="0087332A"/>
    <w:rsid w:val="008B311F"/>
    <w:rsid w:val="008F753F"/>
    <w:rsid w:val="00900087"/>
    <w:rsid w:val="00924552"/>
    <w:rsid w:val="00955292"/>
    <w:rsid w:val="00961586"/>
    <w:rsid w:val="00971EE1"/>
    <w:rsid w:val="009A476F"/>
    <w:rsid w:val="009C3D75"/>
    <w:rsid w:val="009D6979"/>
    <w:rsid w:val="009E1804"/>
    <w:rsid w:val="009E701D"/>
    <w:rsid w:val="009F02EA"/>
    <w:rsid w:val="009F0659"/>
    <w:rsid w:val="009F09A5"/>
    <w:rsid w:val="009F3913"/>
    <w:rsid w:val="00A22F53"/>
    <w:rsid w:val="00A36ABB"/>
    <w:rsid w:val="00A4278C"/>
    <w:rsid w:val="00A450C8"/>
    <w:rsid w:val="00A45C8D"/>
    <w:rsid w:val="00A6539B"/>
    <w:rsid w:val="00A72567"/>
    <w:rsid w:val="00AB0CB8"/>
    <w:rsid w:val="00AC7789"/>
    <w:rsid w:val="00B269A1"/>
    <w:rsid w:val="00B33801"/>
    <w:rsid w:val="00B34CC9"/>
    <w:rsid w:val="00B44793"/>
    <w:rsid w:val="00B453F1"/>
    <w:rsid w:val="00B777D8"/>
    <w:rsid w:val="00B8442B"/>
    <w:rsid w:val="00B927F2"/>
    <w:rsid w:val="00B96029"/>
    <w:rsid w:val="00BA3C58"/>
    <w:rsid w:val="00BC11B2"/>
    <w:rsid w:val="00BC213C"/>
    <w:rsid w:val="00BD6ABB"/>
    <w:rsid w:val="00C121E3"/>
    <w:rsid w:val="00C2377F"/>
    <w:rsid w:val="00C32574"/>
    <w:rsid w:val="00C475CA"/>
    <w:rsid w:val="00C5391B"/>
    <w:rsid w:val="00C64D12"/>
    <w:rsid w:val="00C76A68"/>
    <w:rsid w:val="00C8642E"/>
    <w:rsid w:val="00CB5F0E"/>
    <w:rsid w:val="00CD5C14"/>
    <w:rsid w:val="00CE6914"/>
    <w:rsid w:val="00CE7099"/>
    <w:rsid w:val="00CF7B50"/>
    <w:rsid w:val="00D77750"/>
    <w:rsid w:val="00D83516"/>
    <w:rsid w:val="00DA3D4E"/>
    <w:rsid w:val="00DA3DEC"/>
    <w:rsid w:val="00DB5522"/>
    <w:rsid w:val="00DB56F9"/>
    <w:rsid w:val="00DC426A"/>
    <w:rsid w:val="00DD3426"/>
    <w:rsid w:val="00DF4F29"/>
    <w:rsid w:val="00E077BD"/>
    <w:rsid w:val="00E1226F"/>
    <w:rsid w:val="00E26168"/>
    <w:rsid w:val="00EB2CCC"/>
    <w:rsid w:val="00EC6991"/>
    <w:rsid w:val="00EE3B0B"/>
    <w:rsid w:val="00EE4471"/>
    <w:rsid w:val="00F27C1E"/>
    <w:rsid w:val="00F4785A"/>
    <w:rsid w:val="00F5765B"/>
    <w:rsid w:val="00F641F6"/>
    <w:rsid w:val="00FD4649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3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s://www.gov.scot/publications/coronavirus-covid-19-test-and-protect-advice-for-employers/" TargetMode="External"/><Relationship Id="rId18" Type="http://schemas.openxmlformats.org/officeDocument/2006/relationships/hyperlink" Target="https://www.gov.scot/publications/coronavirus-covid-19-guidance-for-consumers/pages/tourism-and-hospitality/" TargetMode="External"/><Relationship Id="rId26" Type="http://schemas.openxmlformats.org/officeDocument/2006/relationships/hyperlink" Target="https://www.samaritans.org/scotland/samaritans-in-scotla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khospitality.org.uk/page/ScotlandGuid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ronavirus-covid-19-tourism-and-hospitality-sector-guidance/" TargetMode="External"/><Relationship Id="rId17" Type="http://schemas.openxmlformats.org/officeDocument/2006/relationships/hyperlink" Target="https://www.gov.scot/publications/coronavirus-covid-19-tourism-and-hospitality-sector-guidance/" TargetMode="External"/><Relationship Id="rId25" Type="http://schemas.openxmlformats.org/officeDocument/2006/relationships/hyperlink" Target="https://www.samh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khospitality.org.uk/page/ScotlandGuidance" TargetMode="External"/><Relationship Id="rId20" Type="http://schemas.openxmlformats.org/officeDocument/2006/relationships/hyperlink" Target="https://www.ukhospitality.org.uk/page/ScotlandGuid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hospitality.org.uk/page/ScotlandGuidance" TargetMode="External"/><Relationship Id="rId24" Type="http://schemas.openxmlformats.org/officeDocument/2006/relationships/hyperlink" Target="https://www.breathingspace.sc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hospitality.org.uk/page/ScotlandGuidance" TargetMode="External"/><Relationship Id="rId23" Type="http://schemas.openxmlformats.org/officeDocument/2006/relationships/hyperlink" Target="http://www.nhsinform.scot/%20coronavirus-mental-wellbe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9" Type="http://schemas.openxmlformats.org/officeDocument/2006/relationships/hyperlink" Target="https://www.ukhospitality.org.uk/page/Scotland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coronavirus-covid-19-test-and-protect/" TargetMode="External"/><Relationship Id="rId14" Type="http://schemas.openxmlformats.org/officeDocument/2006/relationships/hyperlink" Target="https://www.ukhospitality.org.uk/page/ScotlandGuidance" TargetMode="External"/><Relationship Id="rId22" Type="http://schemas.openxmlformats.org/officeDocument/2006/relationships/hyperlink" Target="https://www.gov.scot/publications/covid-shieldin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FA2D-9B04-473C-9783-2D9E915C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9</cp:revision>
  <cp:lastPrinted>2015-09-30T13:27:00Z</cp:lastPrinted>
  <dcterms:created xsi:type="dcterms:W3CDTF">2020-06-22T13:58:00Z</dcterms:created>
  <dcterms:modified xsi:type="dcterms:W3CDTF">2020-06-22T14:06:00Z</dcterms:modified>
</cp:coreProperties>
</file>